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Pr="006F5EB7" w:rsidRDefault="00507694">
      <w:pPr>
        <w:rPr>
          <w:rFonts w:ascii="David" w:hAnsi="David"/>
          <w:rtl/>
        </w:rPr>
      </w:pPr>
      <w:bookmarkStart w:id="0" w:name="_GoBack"/>
      <w:bookmarkEnd w:id="0"/>
    </w:p>
    <w:tbl>
      <w:tblPr>
        <w:tblStyle w:val="a9"/>
        <w:bidiVisual/>
        <w:tblW w:w="8820" w:type="dxa"/>
        <w:jc w:val="center"/>
        <w:tblLook w:val="01E0" w:firstRow="1" w:lastRow="1" w:firstColumn="1" w:lastColumn="1" w:noHBand="0" w:noVBand="0"/>
      </w:tblPr>
      <w:tblGrid>
        <w:gridCol w:w="1120"/>
        <w:gridCol w:w="4262"/>
        <w:gridCol w:w="3438"/>
      </w:tblGrid>
      <w:tr w:rsidR="00CE2F98" w:rsidRPr="006F5EB7" w:rsidTr="0046211B">
        <w:trPr>
          <w:trHeight w:val="295"/>
          <w:jc w:val="center"/>
        </w:trPr>
        <w:tc>
          <w:tcPr>
            <w:tcW w:w="8820" w:type="dxa"/>
            <w:gridSpan w:val="3"/>
            <w:tcBorders>
              <w:top w:val="nil"/>
              <w:left w:val="nil"/>
              <w:bottom w:val="nil"/>
              <w:right w:val="nil"/>
            </w:tcBorders>
          </w:tcPr>
          <w:p w:rsidR="00CE2F98" w:rsidRPr="006F5EB7" w:rsidRDefault="00CE2F98" w:rsidP="001359DB">
            <w:pPr>
              <w:jc w:val="both"/>
              <w:rPr>
                <w:rFonts w:ascii="David" w:hAnsi="David"/>
                <w:b/>
                <w:bCs/>
              </w:rPr>
            </w:pPr>
            <w:r w:rsidRPr="006F5EB7">
              <w:rPr>
                <w:rFonts w:ascii="David" w:hAnsi="David"/>
                <w:b/>
                <w:bCs/>
                <w:rtl/>
              </w:rPr>
              <w:t>לפני כבוד ה</w:t>
            </w:r>
            <w:sdt>
              <w:sdtPr>
                <w:rPr>
                  <w:rFonts w:ascii="David" w:hAnsi="David"/>
                  <w:rtl/>
                </w:rPr>
                <w:alias w:val="1574"/>
                <w:tag w:val="1574"/>
                <w:id w:val="-1615122647"/>
                <w:text w:multiLine="1"/>
              </w:sdtPr>
              <w:sdtEndPr/>
              <w:sdtContent>
                <w:r w:rsidRPr="006F5EB7">
                  <w:rPr>
                    <w:rFonts w:ascii="David" w:hAnsi="David"/>
                    <w:b/>
                    <w:bCs/>
                    <w:rtl/>
                  </w:rPr>
                  <w:t>שופט</w:t>
                </w:r>
              </w:sdtContent>
            </w:sdt>
            <w:r w:rsidRPr="006F5EB7">
              <w:rPr>
                <w:rFonts w:ascii="David" w:hAnsi="David"/>
                <w:b/>
                <w:bCs/>
                <w:rtl/>
              </w:rPr>
              <w:t xml:space="preserve">  </w:t>
            </w:r>
            <w:sdt>
              <w:sdtPr>
                <w:rPr>
                  <w:rFonts w:ascii="David" w:hAnsi="David"/>
                  <w:rtl/>
                </w:rPr>
                <w:alias w:val="1573"/>
                <w:tag w:val="1573"/>
                <w:id w:val="-1715807626"/>
                <w:text w:multiLine="1"/>
              </w:sdtPr>
              <w:sdtEndPr/>
              <w:sdtContent>
                <w:r w:rsidRPr="006F5EB7">
                  <w:rPr>
                    <w:rFonts w:ascii="David" w:hAnsi="David"/>
                    <w:b/>
                    <w:bCs/>
                    <w:rtl/>
                  </w:rPr>
                  <w:t>איתן קורנהאוזר</w:t>
                </w:r>
              </w:sdtContent>
            </w:sdt>
          </w:p>
        </w:tc>
      </w:tr>
      <w:tr w:rsidR="00507694" w:rsidRPr="006F5EB7" w:rsidTr="004D24E2">
        <w:trPr>
          <w:trHeight w:val="355"/>
          <w:jc w:val="center"/>
        </w:trPr>
        <w:tc>
          <w:tcPr>
            <w:tcW w:w="885" w:type="dxa"/>
            <w:tcBorders>
              <w:top w:val="nil"/>
              <w:left w:val="nil"/>
              <w:bottom w:val="nil"/>
              <w:right w:val="nil"/>
            </w:tcBorders>
          </w:tcPr>
          <w:p w:rsidR="0061252E" w:rsidRDefault="0061252E">
            <w:pPr>
              <w:jc w:val="both"/>
              <w:rPr>
                <w:rFonts w:ascii="David" w:hAnsi="David"/>
                <w:rtl/>
              </w:rPr>
            </w:pPr>
          </w:p>
          <w:p w:rsidR="00507694" w:rsidRPr="006F5EB7" w:rsidRDefault="00632D94">
            <w:pPr>
              <w:jc w:val="both"/>
              <w:rPr>
                <w:rFonts w:ascii="David" w:hAnsi="David"/>
                <w:b/>
                <w:bCs/>
              </w:rPr>
            </w:pPr>
            <w:r w:rsidRPr="006F5EB7">
              <w:rPr>
                <w:rFonts w:ascii="David" w:hAnsi="David"/>
                <w:rtl/>
              </w:rPr>
              <w:t>ה</w:t>
            </w:r>
            <w:sdt>
              <w:sdtPr>
                <w:rPr>
                  <w:rFonts w:ascii="David" w:hAnsi="David"/>
                  <w:rtl/>
                </w:rPr>
                <w:alias w:val="1180"/>
                <w:tag w:val="1180"/>
                <w:id w:val="-217131131"/>
                <w:text w:multiLine="1"/>
              </w:sdtPr>
              <w:sdtEndPr/>
              <w:sdtContent>
                <w:r w:rsidRPr="006F5EB7">
                  <w:rPr>
                    <w:rFonts w:ascii="David" w:hAnsi="David"/>
                    <w:rtl/>
                  </w:rPr>
                  <w:t>מאשימה</w:t>
                </w:r>
              </w:sdtContent>
            </w:sdt>
          </w:p>
        </w:tc>
        <w:tc>
          <w:tcPr>
            <w:tcW w:w="4384" w:type="dxa"/>
            <w:tcBorders>
              <w:top w:val="nil"/>
              <w:left w:val="nil"/>
              <w:bottom w:val="nil"/>
              <w:right w:val="nil"/>
            </w:tcBorders>
          </w:tcPr>
          <w:p w:rsidR="0061252E" w:rsidRDefault="0061252E" w:rsidP="003E0C9F">
            <w:pPr>
              <w:rPr>
                <w:rFonts w:ascii="David" w:hAnsi="David"/>
                <w:rtl/>
              </w:rPr>
            </w:pPr>
          </w:p>
          <w:p w:rsidR="00507694" w:rsidRPr="006F5EB7" w:rsidRDefault="00200130" w:rsidP="003E0C9F">
            <w:pPr>
              <w:rPr>
                <w:rFonts w:ascii="David" w:hAnsi="David"/>
                <w:rtl/>
              </w:rPr>
            </w:pPr>
            <w:sdt>
              <w:sdtPr>
                <w:rPr>
                  <w:rFonts w:ascii="David" w:hAnsi="David"/>
                  <w:b/>
                  <w:bCs/>
                  <w:rtl/>
                </w:rPr>
                <w:alias w:val="1478"/>
                <w:tag w:val="1478"/>
                <w:id w:val="-1270384266"/>
                <w:text w:multiLine="1"/>
              </w:sdtPr>
              <w:sdtEndPr/>
              <w:sdtContent>
                <w:r w:rsidR="00A87018" w:rsidRPr="0061252E">
                  <w:rPr>
                    <w:rFonts w:ascii="David" w:hAnsi="David"/>
                    <w:b/>
                    <w:bCs/>
                    <w:rtl/>
                  </w:rPr>
                  <w:t>מדינת ישראל</w:t>
                </w:r>
              </w:sdtContent>
            </w:sdt>
          </w:p>
          <w:p w:rsidR="007F745F" w:rsidRPr="006F5EB7" w:rsidRDefault="00212457" w:rsidP="003E0C9F">
            <w:pPr>
              <w:rPr>
                <w:rFonts w:ascii="David" w:hAnsi="David"/>
              </w:rPr>
            </w:pPr>
            <w:r w:rsidRPr="006F5EB7">
              <w:rPr>
                <w:rFonts w:ascii="David" w:hAnsi="David"/>
                <w:rtl/>
              </w:rPr>
              <w:t>ע"י ב"כ עו"ד</w:t>
            </w:r>
            <w:r w:rsidR="00826272" w:rsidRPr="006F5EB7">
              <w:rPr>
                <w:rFonts w:ascii="David" w:hAnsi="David"/>
                <w:rtl/>
              </w:rPr>
              <w:t xml:space="preserve"> ירדן זאבי</w:t>
            </w:r>
          </w:p>
        </w:tc>
        <w:tc>
          <w:tcPr>
            <w:tcW w:w="3551" w:type="dxa"/>
            <w:tcBorders>
              <w:top w:val="nil"/>
              <w:left w:val="nil"/>
              <w:bottom w:val="nil"/>
              <w:right w:val="nil"/>
            </w:tcBorders>
          </w:tcPr>
          <w:p w:rsidR="00507694" w:rsidRPr="006F5EB7" w:rsidRDefault="00507694">
            <w:pPr>
              <w:jc w:val="both"/>
              <w:rPr>
                <w:rFonts w:ascii="David" w:hAnsi="David"/>
              </w:rPr>
            </w:pPr>
          </w:p>
        </w:tc>
      </w:tr>
      <w:tr w:rsidR="00212457" w:rsidRPr="006F5EB7" w:rsidTr="004D24E2">
        <w:trPr>
          <w:trHeight w:val="373"/>
          <w:jc w:val="center"/>
        </w:trPr>
        <w:tc>
          <w:tcPr>
            <w:tcW w:w="885" w:type="dxa"/>
            <w:tcBorders>
              <w:top w:val="nil"/>
              <w:left w:val="nil"/>
              <w:bottom w:val="nil"/>
              <w:right w:val="nil"/>
            </w:tcBorders>
          </w:tcPr>
          <w:p w:rsidR="00212457" w:rsidRPr="006F5EB7" w:rsidRDefault="00212457" w:rsidP="00212457">
            <w:pPr>
              <w:jc w:val="both"/>
              <w:rPr>
                <w:rFonts w:ascii="David" w:hAnsi="David"/>
                <w:rtl/>
              </w:rPr>
            </w:pPr>
          </w:p>
        </w:tc>
        <w:tc>
          <w:tcPr>
            <w:tcW w:w="7935" w:type="dxa"/>
            <w:gridSpan w:val="2"/>
            <w:tcBorders>
              <w:top w:val="nil"/>
              <w:left w:val="nil"/>
              <w:bottom w:val="nil"/>
              <w:right w:val="nil"/>
            </w:tcBorders>
          </w:tcPr>
          <w:p w:rsidR="00212457" w:rsidRPr="006F5EB7" w:rsidRDefault="00212457" w:rsidP="00212457">
            <w:pPr>
              <w:jc w:val="center"/>
              <w:rPr>
                <w:rFonts w:ascii="David" w:hAnsi="David"/>
                <w:b/>
                <w:bCs/>
                <w:rtl/>
              </w:rPr>
            </w:pPr>
          </w:p>
          <w:p w:rsidR="00212457" w:rsidRPr="006F5EB7" w:rsidRDefault="00212457" w:rsidP="00212457">
            <w:pPr>
              <w:jc w:val="center"/>
              <w:rPr>
                <w:rFonts w:ascii="David" w:hAnsi="David"/>
                <w:b/>
                <w:bCs/>
                <w:rtl/>
              </w:rPr>
            </w:pPr>
            <w:r w:rsidRPr="006F5EB7">
              <w:rPr>
                <w:rFonts w:ascii="David" w:hAnsi="David"/>
                <w:b/>
                <w:bCs/>
                <w:rtl/>
              </w:rPr>
              <w:t>נגד</w:t>
            </w:r>
          </w:p>
          <w:p w:rsidR="00212457" w:rsidRPr="006F5EB7" w:rsidRDefault="00212457" w:rsidP="00212457">
            <w:pPr>
              <w:jc w:val="both"/>
              <w:rPr>
                <w:rFonts w:ascii="David" w:hAnsi="David"/>
              </w:rPr>
            </w:pPr>
          </w:p>
        </w:tc>
      </w:tr>
      <w:tr w:rsidR="00212457" w:rsidRPr="006F5EB7" w:rsidTr="004D24E2">
        <w:trPr>
          <w:trHeight w:val="355"/>
          <w:jc w:val="center"/>
        </w:trPr>
        <w:tc>
          <w:tcPr>
            <w:tcW w:w="885" w:type="dxa"/>
            <w:tcBorders>
              <w:top w:val="nil"/>
              <w:left w:val="nil"/>
              <w:bottom w:val="nil"/>
              <w:right w:val="nil"/>
            </w:tcBorders>
          </w:tcPr>
          <w:p w:rsidR="00212457" w:rsidRPr="006F5EB7" w:rsidRDefault="00632D94" w:rsidP="0061252E">
            <w:pPr>
              <w:rPr>
                <w:rFonts w:ascii="David" w:hAnsi="David"/>
                <w:rtl/>
              </w:rPr>
            </w:pPr>
            <w:r w:rsidRPr="006F5EB7">
              <w:rPr>
                <w:rFonts w:ascii="David" w:hAnsi="David"/>
                <w:rtl/>
              </w:rPr>
              <w:t>ה</w:t>
            </w:r>
            <w:sdt>
              <w:sdtPr>
                <w:rPr>
                  <w:rFonts w:ascii="David" w:hAnsi="David"/>
                  <w:rtl/>
                </w:rPr>
                <w:alias w:val="1184"/>
                <w:tag w:val="1184"/>
                <w:id w:val="-1508059094"/>
                <w:text w:multiLine="1"/>
              </w:sdtPr>
              <w:sdtEndPr/>
              <w:sdtContent>
                <w:r w:rsidRPr="006F5EB7">
                  <w:rPr>
                    <w:rFonts w:ascii="David" w:hAnsi="David"/>
                    <w:rtl/>
                  </w:rPr>
                  <w:t>נאשם</w:t>
                </w:r>
              </w:sdtContent>
            </w:sdt>
          </w:p>
        </w:tc>
        <w:tc>
          <w:tcPr>
            <w:tcW w:w="4384" w:type="dxa"/>
            <w:tcBorders>
              <w:top w:val="nil"/>
              <w:left w:val="nil"/>
              <w:bottom w:val="nil"/>
              <w:right w:val="nil"/>
            </w:tcBorders>
          </w:tcPr>
          <w:p w:rsidR="00212457" w:rsidRPr="006F5EB7" w:rsidRDefault="00200130" w:rsidP="00212457">
            <w:pPr>
              <w:rPr>
                <w:rFonts w:ascii="David" w:hAnsi="David"/>
                <w:rtl/>
              </w:rPr>
            </w:pPr>
            <w:sdt>
              <w:sdtPr>
                <w:rPr>
                  <w:rFonts w:ascii="David" w:hAnsi="David"/>
                  <w:b/>
                  <w:bCs/>
                  <w:rtl/>
                </w:rPr>
                <w:alias w:val="1486"/>
                <w:tag w:val="1486"/>
                <w:id w:val="-1964416617"/>
                <w:text w:multiLine="1"/>
              </w:sdtPr>
              <w:sdtEndPr/>
              <w:sdtContent>
                <w:r w:rsidR="00A87018" w:rsidRPr="002757EB">
                  <w:rPr>
                    <w:rFonts w:ascii="David" w:hAnsi="David"/>
                    <w:b/>
                    <w:bCs/>
                    <w:rtl/>
                  </w:rPr>
                  <w:t>חיים פלג</w:t>
                </w:r>
              </w:sdtContent>
            </w:sdt>
          </w:p>
          <w:p w:rsidR="00212457" w:rsidRPr="006F5EB7" w:rsidRDefault="00212457" w:rsidP="00212457">
            <w:pPr>
              <w:rPr>
                <w:rFonts w:ascii="David" w:hAnsi="David"/>
                <w:rtl/>
              </w:rPr>
            </w:pPr>
            <w:r w:rsidRPr="006F5EB7">
              <w:rPr>
                <w:rFonts w:ascii="David" w:hAnsi="David"/>
                <w:rtl/>
              </w:rPr>
              <w:t>ע"י ב"כ עו"ד</w:t>
            </w:r>
            <w:r w:rsidR="00826272" w:rsidRPr="006F5EB7">
              <w:rPr>
                <w:rFonts w:ascii="David" w:hAnsi="David"/>
                <w:rtl/>
              </w:rPr>
              <w:t xml:space="preserve"> שי רודה</w:t>
            </w:r>
          </w:p>
        </w:tc>
        <w:tc>
          <w:tcPr>
            <w:tcW w:w="3551" w:type="dxa"/>
            <w:tcBorders>
              <w:top w:val="nil"/>
              <w:left w:val="nil"/>
              <w:bottom w:val="nil"/>
              <w:right w:val="nil"/>
            </w:tcBorders>
          </w:tcPr>
          <w:p w:rsidR="00212457" w:rsidRPr="006F5EB7" w:rsidRDefault="00212457" w:rsidP="00212457">
            <w:pPr>
              <w:jc w:val="right"/>
              <w:rPr>
                <w:rFonts w:ascii="David" w:hAnsi="David"/>
              </w:rPr>
            </w:pPr>
          </w:p>
        </w:tc>
      </w:tr>
    </w:tbl>
    <w:p w:rsidR="00507694" w:rsidRPr="006F5EB7" w:rsidRDefault="00507694">
      <w:pPr>
        <w:rPr>
          <w:rFonts w:ascii="David" w:hAnsi="David"/>
        </w:rPr>
      </w:pPr>
    </w:p>
    <w:tbl>
      <w:tblPr>
        <w:tblStyle w:val="a9"/>
        <w:bidiVisual/>
        <w:tblW w:w="8820" w:type="dxa"/>
        <w:jc w:val="center"/>
        <w:tblLook w:val="01E0" w:firstRow="1" w:lastRow="1" w:firstColumn="1" w:lastColumn="1" w:noHBand="0" w:noVBand="0"/>
      </w:tblPr>
      <w:tblGrid>
        <w:gridCol w:w="8820"/>
      </w:tblGrid>
      <w:tr w:rsidR="00507694" w:rsidRPr="006F5EB7">
        <w:trPr>
          <w:trHeight w:val="355"/>
          <w:jc w:val="center"/>
        </w:trPr>
        <w:tc>
          <w:tcPr>
            <w:tcW w:w="8820" w:type="dxa"/>
            <w:tcBorders>
              <w:top w:val="nil"/>
              <w:left w:val="nil"/>
              <w:bottom w:val="nil"/>
              <w:right w:val="nil"/>
            </w:tcBorders>
          </w:tcPr>
          <w:p w:rsidR="00AC5BDC" w:rsidRDefault="00AC5BDC">
            <w:pPr>
              <w:jc w:val="center"/>
              <w:rPr>
                <w:rFonts w:ascii="David" w:hAnsi="David"/>
                <w:b/>
                <w:bCs/>
                <w:u w:val="single"/>
                <w:rtl/>
              </w:rPr>
            </w:pPr>
          </w:p>
          <w:p w:rsidR="00B8665E" w:rsidRDefault="00684E84">
            <w:pPr>
              <w:jc w:val="center"/>
              <w:rPr>
                <w:rFonts w:ascii="David" w:hAnsi="David"/>
                <w:u w:val="single"/>
                <w:rtl/>
              </w:rPr>
            </w:pPr>
            <w:r w:rsidRPr="006F5EB7">
              <w:rPr>
                <w:rFonts w:ascii="David" w:hAnsi="David"/>
                <w:b/>
                <w:bCs/>
                <w:u w:val="single"/>
                <w:rtl/>
              </w:rPr>
              <w:t>גזר דין</w:t>
            </w:r>
            <w:r w:rsidR="00B8665E">
              <w:rPr>
                <w:rFonts w:ascii="David" w:hAnsi="David" w:hint="cs"/>
                <w:u w:val="single"/>
                <w:rtl/>
              </w:rPr>
              <w:t xml:space="preserve"> </w:t>
            </w:r>
          </w:p>
          <w:p w:rsidR="00AC5BDC" w:rsidRDefault="00B8665E" w:rsidP="00AC5BDC">
            <w:pPr>
              <w:jc w:val="center"/>
              <w:rPr>
                <w:rFonts w:ascii="David" w:hAnsi="David"/>
                <w:u w:val="single"/>
                <w:rtl/>
              </w:rPr>
            </w:pPr>
            <w:r>
              <w:rPr>
                <w:rFonts w:ascii="David" w:hAnsi="David" w:hint="cs"/>
                <w:u w:val="single"/>
                <w:rtl/>
              </w:rPr>
              <w:t xml:space="preserve">(גרסה מותרת לפרסום. </w:t>
            </w:r>
          </w:p>
          <w:p w:rsidR="00507694" w:rsidRPr="006F5EB7" w:rsidRDefault="00B8665E" w:rsidP="00AC5BDC">
            <w:pPr>
              <w:jc w:val="center"/>
              <w:rPr>
                <w:rFonts w:ascii="David" w:hAnsi="David"/>
                <w:u w:val="single"/>
                <w:rtl/>
              </w:rPr>
            </w:pPr>
            <w:r>
              <w:rPr>
                <w:rFonts w:ascii="David" w:hAnsi="David" w:hint="cs"/>
                <w:u w:val="single"/>
                <w:rtl/>
              </w:rPr>
              <w:t>חל איסור פרסום כל פרט העשוי להוביל לזיהוי הקטינה)</w:t>
            </w:r>
          </w:p>
        </w:tc>
      </w:tr>
      <w:tr w:rsidR="00826272" w:rsidRPr="006F5EB7" w:rsidTr="00826272">
        <w:trPr>
          <w:trHeight w:val="355"/>
          <w:jc w:val="center"/>
        </w:trPr>
        <w:tc>
          <w:tcPr>
            <w:tcW w:w="8820" w:type="dxa"/>
            <w:tcBorders>
              <w:top w:val="nil"/>
              <w:left w:val="nil"/>
              <w:bottom w:val="nil"/>
              <w:right w:val="nil"/>
            </w:tcBorders>
          </w:tcPr>
          <w:p w:rsidR="00826272" w:rsidRPr="006F5EB7" w:rsidRDefault="00826272">
            <w:pPr>
              <w:jc w:val="center"/>
              <w:rPr>
                <w:rFonts w:ascii="David" w:hAnsi="David"/>
                <w:u w:val="single"/>
              </w:rPr>
            </w:pPr>
          </w:p>
        </w:tc>
      </w:tr>
    </w:tbl>
    <w:p w:rsidR="00826272" w:rsidRPr="006F5EB7" w:rsidRDefault="00826272" w:rsidP="00826272">
      <w:pPr>
        <w:spacing w:line="360" w:lineRule="auto"/>
        <w:jc w:val="both"/>
        <w:rPr>
          <w:rFonts w:ascii="David" w:hAnsi="David"/>
          <w:b/>
          <w:bCs/>
          <w:u w:val="single"/>
          <w:rtl/>
        </w:rPr>
      </w:pPr>
      <w:r w:rsidRPr="006F5EB7">
        <w:rPr>
          <w:rFonts w:ascii="David" w:hAnsi="David"/>
          <w:b/>
          <w:bCs/>
          <w:u w:val="single"/>
          <w:rtl/>
        </w:rPr>
        <w:t>רקע</w:t>
      </w:r>
    </w:p>
    <w:p w:rsidR="00826272" w:rsidRPr="006F5EB7" w:rsidRDefault="00826272" w:rsidP="00826272">
      <w:pPr>
        <w:pStyle w:val="ab"/>
        <w:numPr>
          <w:ilvl w:val="0"/>
          <w:numId w:val="3"/>
        </w:numPr>
        <w:spacing w:line="360" w:lineRule="auto"/>
        <w:jc w:val="both"/>
        <w:rPr>
          <w:rFonts w:ascii="David" w:hAnsi="David" w:cs="David"/>
          <w:sz w:val="24"/>
          <w:szCs w:val="24"/>
        </w:rPr>
      </w:pPr>
      <w:r w:rsidRPr="006F5EB7">
        <w:rPr>
          <w:rFonts w:ascii="David" w:hAnsi="David" w:cs="David"/>
          <w:sz w:val="24"/>
          <w:szCs w:val="24"/>
          <w:rtl/>
        </w:rPr>
        <w:t>הנאשם הורשע לאחר ניהול הוכחות</w:t>
      </w:r>
      <w:r w:rsidR="005C1FEB">
        <w:rPr>
          <w:rFonts w:ascii="David" w:hAnsi="David" w:cs="David" w:hint="cs"/>
          <w:sz w:val="24"/>
          <w:szCs w:val="24"/>
          <w:rtl/>
        </w:rPr>
        <w:t>,</w:t>
      </w:r>
      <w:r w:rsidRPr="006F5EB7">
        <w:rPr>
          <w:rFonts w:ascii="David" w:hAnsi="David" w:cs="David"/>
          <w:sz w:val="24"/>
          <w:szCs w:val="24"/>
          <w:rtl/>
        </w:rPr>
        <w:t xml:space="preserve"> בעבירות הבאות: בעילה אסורה בהסכמה, לפי סעיף 346(א)(1) לחוק העונשין, תשל"ז – 1977 (להלן: "</w:t>
      </w:r>
      <w:r w:rsidRPr="006F5EB7">
        <w:rPr>
          <w:rFonts w:ascii="David" w:hAnsi="David" w:cs="David"/>
          <w:b/>
          <w:bCs/>
          <w:sz w:val="24"/>
          <w:szCs w:val="24"/>
          <w:rtl/>
        </w:rPr>
        <w:t>חוק העונשין</w:t>
      </w:r>
      <w:r w:rsidRPr="006F5EB7">
        <w:rPr>
          <w:rFonts w:ascii="David" w:hAnsi="David" w:cs="David"/>
          <w:sz w:val="24"/>
          <w:szCs w:val="24"/>
          <w:rtl/>
        </w:rPr>
        <w:t>"); גרם בעילה אסורה בהסכמה, לפי סעיף 346(א)(1) בצירוף סעיף 350 לחוק העונשין; החזקת חומר תועבה, לפי סעיף 214(ב3) לחוק העונשין.</w:t>
      </w:r>
    </w:p>
    <w:p w:rsidR="00826272" w:rsidRPr="006F5EB7" w:rsidRDefault="00826272" w:rsidP="00826272">
      <w:pPr>
        <w:pStyle w:val="ab"/>
        <w:spacing w:line="360" w:lineRule="auto"/>
        <w:jc w:val="both"/>
        <w:rPr>
          <w:rFonts w:ascii="David" w:hAnsi="David" w:cs="David"/>
          <w:sz w:val="24"/>
          <w:szCs w:val="24"/>
          <w:rtl/>
        </w:rPr>
      </w:pPr>
    </w:p>
    <w:p w:rsidR="00826272" w:rsidRPr="006F5EB7" w:rsidRDefault="00826272" w:rsidP="00B8665E">
      <w:pPr>
        <w:pStyle w:val="ab"/>
        <w:spacing w:line="360" w:lineRule="auto"/>
        <w:jc w:val="both"/>
        <w:rPr>
          <w:rFonts w:ascii="David" w:hAnsi="David" w:cs="David"/>
          <w:sz w:val="24"/>
          <w:szCs w:val="24"/>
        </w:rPr>
      </w:pPr>
      <w:r w:rsidRPr="006F5EB7">
        <w:rPr>
          <w:rFonts w:ascii="David" w:hAnsi="David" w:cs="David"/>
          <w:sz w:val="24"/>
          <w:szCs w:val="24"/>
          <w:rtl/>
        </w:rPr>
        <w:t>בהתאם לעובדות בהן הורשע, בין התאריכים 9.8.2017 ל- 4.9.2017 (להלן: "</w:t>
      </w:r>
      <w:r w:rsidRPr="006F5EB7">
        <w:rPr>
          <w:rFonts w:ascii="David" w:hAnsi="David" w:cs="David"/>
          <w:b/>
          <w:bCs/>
          <w:sz w:val="24"/>
          <w:szCs w:val="24"/>
          <w:rtl/>
        </w:rPr>
        <w:t>התקופה</w:t>
      </w:r>
      <w:r w:rsidRPr="006F5EB7">
        <w:rPr>
          <w:rFonts w:ascii="David" w:hAnsi="David" w:cs="David"/>
          <w:sz w:val="24"/>
          <w:szCs w:val="24"/>
          <w:rtl/>
        </w:rPr>
        <w:t xml:space="preserve">"), יצר הנאשם קשר עם </w:t>
      </w:r>
      <w:r w:rsidR="00B8665E">
        <w:rPr>
          <w:rFonts w:ascii="David" w:hAnsi="David" w:cs="David" w:hint="cs"/>
          <w:sz w:val="24"/>
          <w:szCs w:val="24"/>
          <w:rtl/>
        </w:rPr>
        <w:t>---</w:t>
      </w:r>
      <w:r w:rsidR="00AC5BDC">
        <w:rPr>
          <w:rFonts w:ascii="David" w:hAnsi="David" w:cs="David" w:hint="cs"/>
          <w:sz w:val="24"/>
          <w:szCs w:val="24"/>
          <w:rtl/>
        </w:rPr>
        <w:t>,</w:t>
      </w:r>
      <w:r w:rsidR="00B8665E">
        <w:rPr>
          <w:rFonts w:ascii="David" w:hAnsi="David" w:cs="David" w:hint="cs"/>
          <w:sz w:val="24"/>
          <w:szCs w:val="24"/>
          <w:rtl/>
        </w:rPr>
        <w:t xml:space="preserve"> </w:t>
      </w:r>
      <w:r w:rsidRPr="006F5EB7">
        <w:rPr>
          <w:rFonts w:ascii="David" w:hAnsi="David" w:cs="David"/>
          <w:sz w:val="24"/>
          <w:szCs w:val="24"/>
          <w:rtl/>
        </w:rPr>
        <w:t>קטינה ילידת 11.4.2002 (להלן: "</w:t>
      </w:r>
      <w:r w:rsidR="00B8665E">
        <w:rPr>
          <w:rFonts w:ascii="David" w:hAnsi="David" w:cs="David" w:hint="cs"/>
          <w:b/>
          <w:bCs/>
          <w:sz w:val="24"/>
          <w:szCs w:val="24"/>
          <w:rtl/>
        </w:rPr>
        <w:t>הקטינה</w:t>
      </w:r>
      <w:r w:rsidRPr="006F5EB7">
        <w:rPr>
          <w:rFonts w:ascii="David" w:hAnsi="David" w:cs="David"/>
          <w:sz w:val="24"/>
          <w:szCs w:val="24"/>
          <w:rtl/>
        </w:rPr>
        <w:t xml:space="preserve">"), תחילה באמצעות רשת האינסטגרם ובהמשך באמצעות יישומונים ווטסאפ וטנגו. במהלך התקופה ניהל הנאשם עם </w:t>
      </w:r>
      <w:r w:rsidR="00B8665E">
        <w:rPr>
          <w:rFonts w:ascii="David" w:hAnsi="David" w:cs="David" w:hint="cs"/>
          <w:sz w:val="24"/>
          <w:szCs w:val="24"/>
          <w:rtl/>
        </w:rPr>
        <w:t>הקטינה</w:t>
      </w:r>
      <w:r w:rsidRPr="006F5EB7">
        <w:rPr>
          <w:rFonts w:ascii="David" w:hAnsi="David" w:cs="David"/>
          <w:sz w:val="24"/>
          <w:szCs w:val="24"/>
          <w:rtl/>
        </w:rPr>
        <w:t xml:space="preserve"> התכתבויות אינטנסיביות בעלות תוכן מיני, ביודעו כי מדובר בקטינה בת חמש עשרה וחצי:</w:t>
      </w:r>
    </w:p>
    <w:p w:rsidR="00826272" w:rsidRPr="006F5EB7" w:rsidRDefault="00826272" w:rsidP="00B8665E">
      <w:pPr>
        <w:pStyle w:val="ab"/>
        <w:numPr>
          <w:ilvl w:val="0"/>
          <w:numId w:val="4"/>
        </w:numPr>
        <w:spacing w:line="360" w:lineRule="auto"/>
        <w:jc w:val="both"/>
        <w:rPr>
          <w:rFonts w:ascii="David" w:hAnsi="David" w:cs="David"/>
          <w:sz w:val="24"/>
          <w:szCs w:val="24"/>
          <w:rtl/>
        </w:rPr>
      </w:pPr>
      <w:r w:rsidRPr="006F5EB7">
        <w:rPr>
          <w:rFonts w:ascii="David" w:hAnsi="David" w:cs="David"/>
          <w:sz w:val="24"/>
          <w:szCs w:val="24"/>
          <w:rtl/>
        </w:rPr>
        <w:t xml:space="preserve">במסגרת ההתכתבויות שלח הנאשם </w:t>
      </w:r>
      <w:r w:rsidR="005970BA">
        <w:rPr>
          <w:rFonts w:ascii="David" w:hAnsi="David" w:cs="David" w:hint="cs"/>
          <w:sz w:val="24"/>
          <w:szCs w:val="24"/>
          <w:rtl/>
        </w:rPr>
        <w:t>ל</w:t>
      </w:r>
      <w:r w:rsidR="00B8665E">
        <w:rPr>
          <w:rFonts w:ascii="David" w:hAnsi="David" w:cs="David" w:hint="cs"/>
          <w:sz w:val="24"/>
          <w:szCs w:val="24"/>
          <w:rtl/>
        </w:rPr>
        <w:t>קטינה</w:t>
      </w:r>
      <w:r w:rsidRPr="006F5EB7">
        <w:rPr>
          <w:rFonts w:ascii="David" w:hAnsi="David" w:cs="David"/>
          <w:sz w:val="24"/>
          <w:szCs w:val="24"/>
          <w:rtl/>
        </w:rPr>
        <w:t xml:space="preserve"> תמונות וסרטונים בעלי אופי מיני, לרבות תמונת איבר מין גברי וכן ביקש ממנה לשלוח אליו תמונות וסרטונים של איבר מינה. בעקבות בקשות הנאשם שלחה לו </w:t>
      </w:r>
      <w:r w:rsidR="00B8665E">
        <w:rPr>
          <w:rFonts w:ascii="David" w:hAnsi="David" w:cs="David" w:hint="cs"/>
          <w:sz w:val="24"/>
          <w:szCs w:val="24"/>
          <w:rtl/>
        </w:rPr>
        <w:t>הקטינה</w:t>
      </w:r>
      <w:r w:rsidRPr="006F5EB7">
        <w:rPr>
          <w:rFonts w:ascii="David" w:hAnsi="David" w:cs="David"/>
          <w:sz w:val="24"/>
          <w:szCs w:val="24"/>
          <w:rtl/>
        </w:rPr>
        <w:t xml:space="preserve"> תמונות של איבר מינה והנאשם החזיקן במכשיר הטלפון הנייד שלו.</w:t>
      </w:r>
    </w:p>
    <w:p w:rsidR="00826272" w:rsidRPr="006F5EB7" w:rsidRDefault="00826272" w:rsidP="00B8665E">
      <w:pPr>
        <w:pStyle w:val="ab"/>
        <w:numPr>
          <w:ilvl w:val="0"/>
          <w:numId w:val="4"/>
        </w:numPr>
        <w:spacing w:line="360" w:lineRule="auto"/>
        <w:jc w:val="both"/>
        <w:rPr>
          <w:rFonts w:ascii="David" w:hAnsi="David" w:cs="David"/>
          <w:sz w:val="24"/>
          <w:szCs w:val="24"/>
          <w:rtl/>
        </w:rPr>
      </w:pPr>
      <w:r w:rsidRPr="006F5EB7">
        <w:rPr>
          <w:rFonts w:ascii="David" w:hAnsi="David" w:cs="David"/>
          <w:sz w:val="24"/>
          <w:szCs w:val="24"/>
          <w:rtl/>
        </w:rPr>
        <w:t>במסגרת ההתכתבויות במהלך התקופה, ביקש הנאשם מ</w:t>
      </w:r>
      <w:r w:rsidR="00B8665E">
        <w:rPr>
          <w:rFonts w:ascii="David" w:hAnsi="David" w:cs="David" w:hint="cs"/>
          <w:sz w:val="24"/>
          <w:szCs w:val="24"/>
          <w:rtl/>
        </w:rPr>
        <w:t>הקטינה</w:t>
      </w:r>
      <w:r w:rsidRPr="006F5EB7">
        <w:rPr>
          <w:rFonts w:ascii="David" w:hAnsi="David" w:cs="David"/>
          <w:sz w:val="24"/>
          <w:szCs w:val="24"/>
          <w:rtl/>
        </w:rPr>
        <w:t xml:space="preserve"> להחדיר אצבעות לאיבר מינה ולבצע מעשה אוננות. כמו כן, ביקש הנאשם מ</w:t>
      </w:r>
      <w:r w:rsidR="00B8665E">
        <w:rPr>
          <w:rFonts w:ascii="David" w:hAnsi="David" w:cs="David" w:hint="cs"/>
          <w:sz w:val="24"/>
          <w:szCs w:val="24"/>
          <w:rtl/>
        </w:rPr>
        <w:t>הקטינה</w:t>
      </w:r>
      <w:r w:rsidRPr="006F5EB7">
        <w:rPr>
          <w:rFonts w:ascii="David" w:hAnsi="David" w:cs="David"/>
          <w:sz w:val="24"/>
          <w:szCs w:val="24"/>
          <w:rtl/>
        </w:rPr>
        <w:t xml:space="preserve"> כי תחדיר מלפפון לאיבר מינה. בהמשך, צילמה </w:t>
      </w:r>
      <w:r w:rsidR="00B8665E">
        <w:rPr>
          <w:rFonts w:ascii="David" w:hAnsi="David" w:cs="David" w:hint="cs"/>
          <w:sz w:val="24"/>
          <w:szCs w:val="24"/>
          <w:rtl/>
        </w:rPr>
        <w:t>הקטינה</w:t>
      </w:r>
      <w:r w:rsidR="005970BA" w:rsidRPr="006F5EB7">
        <w:rPr>
          <w:rFonts w:ascii="David" w:hAnsi="David" w:cs="David"/>
          <w:sz w:val="24"/>
          <w:szCs w:val="24"/>
          <w:rtl/>
        </w:rPr>
        <w:t xml:space="preserve"> </w:t>
      </w:r>
      <w:r w:rsidRPr="006F5EB7">
        <w:rPr>
          <w:rFonts w:ascii="David" w:hAnsi="David" w:cs="David"/>
          <w:sz w:val="24"/>
          <w:szCs w:val="24"/>
          <w:rtl/>
        </w:rPr>
        <w:t>את עצמה כשהיא מחדירה מלפפון לאיבר מינה ושלחה את הסרטון למכשיר הטלפון הנייד של הנאשם, לבקשתו. הנאשם צפה בסרטון והחזיקו ברשותו.</w:t>
      </w:r>
    </w:p>
    <w:p w:rsidR="00826272" w:rsidRPr="006F5EB7" w:rsidRDefault="00826272" w:rsidP="00B8665E">
      <w:pPr>
        <w:pStyle w:val="ab"/>
        <w:numPr>
          <w:ilvl w:val="0"/>
          <w:numId w:val="4"/>
        </w:numPr>
        <w:spacing w:line="360" w:lineRule="auto"/>
        <w:jc w:val="both"/>
        <w:rPr>
          <w:rFonts w:ascii="David" w:hAnsi="David" w:cs="David"/>
          <w:sz w:val="24"/>
          <w:szCs w:val="24"/>
        </w:rPr>
      </w:pPr>
      <w:r w:rsidRPr="006F5EB7">
        <w:rPr>
          <w:rFonts w:ascii="David" w:hAnsi="David" w:cs="David"/>
          <w:sz w:val="24"/>
          <w:szCs w:val="24"/>
          <w:rtl/>
        </w:rPr>
        <w:t xml:space="preserve">במסגרת ההתכתבויות, קבעו הנאשם </w:t>
      </w:r>
      <w:r w:rsidR="005970BA">
        <w:rPr>
          <w:rFonts w:ascii="David" w:hAnsi="David" w:cs="David" w:hint="cs"/>
          <w:sz w:val="24"/>
          <w:szCs w:val="24"/>
          <w:rtl/>
        </w:rPr>
        <w:t>ו</w:t>
      </w:r>
      <w:r w:rsidR="00B8665E">
        <w:rPr>
          <w:rFonts w:ascii="David" w:hAnsi="David" w:cs="David" w:hint="cs"/>
          <w:sz w:val="24"/>
          <w:szCs w:val="24"/>
          <w:rtl/>
        </w:rPr>
        <w:t>הקטינה</w:t>
      </w:r>
      <w:r w:rsidRPr="006F5EB7">
        <w:rPr>
          <w:rFonts w:ascii="David" w:hAnsi="David" w:cs="David"/>
          <w:sz w:val="24"/>
          <w:szCs w:val="24"/>
          <w:rtl/>
        </w:rPr>
        <w:t xml:space="preserve"> להיפגש ביום 20.11.2017 (להלן: "</w:t>
      </w:r>
      <w:r w:rsidRPr="006F5EB7">
        <w:rPr>
          <w:rFonts w:ascii="David" w:hAnsi="David" w:cs="David"/>
          <w:b/>
          <w:bCs/>
          <w:sz w:val="24"/>
          <w:szCs w:val="24"/>
          <w:rtl/>
        </w:rPr>
        <w:t>הפגישה</w:t>
      </w:r>
      <w:r w:rsidRPr="006F5EB7">
        <w:rPr>
          <w:rFonts w:ascii="David" w:hAnsi="David" w:cs="David"/>
          <w:sz w:val="24"/>
          <w:szCs w:val="24"/>
          <w:rtl/>
        </w:rPr>
        <w:t>"). מספר ימים לפני הפגישה, ביקש הנאשם מ</w:t>
      </w:r>
      <w:r w:rsidR="00B8665E">
        <w:rPr>
          <w:rFonts w:ascii="David" w:hAnsi="David" w:cs="David" w:hint="cs"/>
          <w:sz w:val="24"/>
          <w:szCs w:val="24"/>
          <w:rtl/>
        </w:rPr>
        <w:t>הקטינה</w:t>
      </w:r>
      <w:r w:rsidRPr="006F5EB7">
        <w:rPr>
          <w:rFonts w:ascii="David" w:hAnsi="David" w:cs="David"/>
          <w:sz w:val="24"/>
          <w:szCs w:val="24"/>
          <w:rtl/>
        </w:rPr>
        <w:t xml:space="preserve"> כי תגלח את איבר מינה, תסריט פעולה זו ותשלח את התיעוד למכשיר הטלפון הנייד שלו. בעקבות בקשות הנאשם, גזרה </w:t>
      </w:r>
      <w:r w:rsidR="00B8665E">
        <w:rPr>
          <w:rFonts w:ascii="David" w:hAnsi="David" w:cs="David" w:hint="cs"/>
          <w:sz w:val="24"/>
          <w:szCs w:val="24"/>
          <w:rtl/>
        </w:rPr>
        <w:t>הקטינה</w:t>
      </w:r>
      <w:r w:rsidR="005970BA" w:rsidRPr="006F5EB7">
        <w:rPr>
          <w:rFonts w:ascii="David" w:hAnsi="David" w:cs="David"/>
          <w:sz w:val="24"/>
          <w:szCs w:val="24"/>
          <w:rtl/>
        </w:rPr>
        <w:t xml:space="preserve"> </w:t>
      </w:r>
      <w:r w:rsidRPr="006F5EB7">
        <w:rPr>
          <w:rFonts w:ascii="David" w:hAnsi="David" w:cs="David"/>
          <w:sz w:val="24"/>
          <w:szCs w:val="24"/>
          <w:rtl/>
        </w:rPr>
        <w:t xml:space="preserve">את שיער ערוותה, תיעדה פעולה זו ושלחה את הסרטון לטלפון הנייד של הנאשם. הנאשם צפה בסרטון והחזיקו ברשותו. במקביל, הבטיח הנאשם </w:t>
      </w:r>
      <w:r w:rsidR="005970BA">
        <w:rPr>
          <w:rFonts w:ascii="David" w:hAnsi="David" w:cs="David" w:hint="cs"/>
          <w:sz w:val="24"/>
          <w:szCs w:val="24"/>
          <w:rtl/>
        </w:rPr>
        <w:t>ל</w:t>
      </w:r>
      <w:r w:rsidR="00B8665E">
        <w:rPr>
          <w:rFonts w:ascii="David" w:hAnsi="David" w:cs="David" w:hint="cs"/>
          <w:sz w:val="24"/>
          <w:szCs w:val="24"/>
          <w:rtl/>
        </w:rPr>
        <w:t>קטינה</w:t>
      </w:r>
      <w:r w:rsidR="005970BA" w:rsidRPr="006F5EB7">
        <w:rPr>
          <w:rFonts w:ascii="David" w:hAnsi="David" w:cs="David"/>
          <w:sz w:val="24"/>
          <w:szCs w:val="24"/>
          <w:rtl/>
        </w:rPr>
        <w:t xml:space="preserve"> </w:t>
      </w:r>
      <w:r w:rsidRPr="006F5EB7">
        <w:rPr>
          <w:rFonts w:ascii="David" w:hAnsi="David" w:cs="David"/>
          <w:sz w:val="24"/>
          <w:szCs w:val="24"/>
          <w:rtl/>
        </w:rPr>
        <w:t xml:space="preserve">כי לקראת הפגישה ביניהם יגלח אף הוא את שיער ערוותו. </w:t>
      </w:r>
    </w:p>
    <w:p w:rsidR="00826272" w:rsidRPr="006F5EB7" w:rsidRDefault="00826272" w:rsidP="00AC5BDC">
      <w:pPr>
        <w:pStyle w:val="ab"/>
        <w:numPr>
          <w:ilvl w:val="0"/>
          <w:numId w:val="4"/>
        </w:numPr>
        <w:spacing w:line="360" w:lineRule="auto"/>
        <w:jc w:val="both"/>
        <w:rPr>
          <w:rFonts w:ascii="David" w:hAnsi="David" w:cs="David"/>
          <w:sz w:val="24"/>
          <w:szCs w:val="24"/>
        </w:rPr>
      </w:pPr>
      <w:r w:rsidRPr="006F5EB7">
        <w:rPr>
          <w:rFonts w:ascii="David" w:hAnsi="David" w:cs="David"/>
          <w:sz w:val="24"/>
          <w:szCs w:val="24"/>
          <w:rtl/>
        </w:rPr>
        <w:lastRenderedPageBreak/>
        <w:t>בתאריך 20.11.2017, בשעות הצהריים, נפגשו הנאשם ו</w:t>
      </w:r>
      <w:r w:rsidR="00B8665E">
        <w:rPr>
          <w:rFonts w:ascii="David" w:hAnsi="David" w:cs="David" w:hint="cs"/>
          <w:sz w:val="24"/>
          <w:szCs w:val="24"/>
          <w:rtl/>
        </w:rPr>
        <w:t>הקטינה</w:t>
      </w:r>
      <w:r w:rsidRPr="006F5EB7">
        <w:rPr>
          <w:rFonts w:ascii="David" w:hAnsi="David" w:cs="David"/>
          <w:sz w:val="24"/>
          <w:szCs w:val="24"/>
          <w:rtl/>
        </w:rPr>
        <w:t xml:space="preserve"> בסמוך לבית הספר בו למדה </w:t>
      </w:r>
      <w:r w:rsidR="003D00B2">
        <w:rPr>
          <w:rFonts w:ascii="David" w:hAnsi="David" w:cs="David" w:hint="cs"/>
          <w:sz w:val="24"/>
          <w:szCs w:val="24"/>
          <w:rtl/>
        </w:rPr>
        <w:t>---</w:t>
      </w:r>
      <w:r w:rsidRPr="006F5EB7">
        <w:rPr>
          <w:rFonts w:ascii="David" w:hAnsi="David" w:cs="David"/>
          <w:sz w:val="24"/>
          <w:szCs w:val="24"/>
          <w:rtl/>
        </w:rPr>
        <w:t xml:space="preserve">. הנאשם הסיע את </w:t>
      </w:r>
      <w:r w:rsidR="00B8665E">
        <w:rPr>
          <w:rFonts w:ascii="David" w:hAnsi="David" w:cs="David" w:hint="cs"/>
          <w:sz w:val="24"/>
          <w:szCs w:val="24"/>
          <w:rtl/>
        </w:rPr>
        <w:t>הקטינה</w:t>
      </w:r>
      <w:r w:rsidR="005970BA" w:rsidRPr="006F5EB7">
        <w:rPr>
          <w:rFonts w:ascii="David" w:hAnsi="David" w:cs="David"/>
          <w:sz w:val="24"/>
          <w:szCs w:val="24"/>
          <w:rtl/>
        </w:rPr>
        <w:t xml:space="preserve"> </w:t>
      </w:r>
      <w:r w:rsidRPr="006F5EB7">
        <w:rPr>
          <w:rFonts w:ascii="David" w:hAnsi="David" w:cs="David"/>
          <w:sz w:val="24"/>
          <w:szCs w:val="24"/>
          <w:rtl/>
        </w:rPr>
        <w:t>ברכבו (להלן: "</w:t>
      </w:r>
      <w:r w:rsidRPr="006F5EB7">
        <w:rPr>
          <w:rFonts w:ascii="David" w:hAnsi="David" w:cs="David"/>
          <w:b/>
          <w:bCs/>
          <w:sz w:val="24"/>
          <w:szCs w:val="24"/>
          <w:rtl/>
        </w:rPr>
        <w:t>הרכב</w:t>
      </w:r>
      <w:r w:rsidRPr="006F5EB7">
        <w:rPr>
          <w:rFonts w:ascii="David" w:hAnsi="David" w:cs="David"/>
          <w:sz w:val="24"/>
          <w:szCs w:val="24"/>
          <w:rtl/>
        </w:rPr>
        <w:t xml:space="preserve">") למקום מרוחק </w:t>
      </w:r>
      <w:r w:rsidR="003D00B2">
        <w:rPr>
          <w:rFonts w:ascii="David" w:hAnsi="David" w:cs="David" w:hint="cs"/>
          <w:sz w:val="24"/>
          <w:szCs w:val="24"/>
          <w:rtl/>
        </w:rPr>
        <w:t>באזור מגוריה</w:t>
      </w:r>
      <w:r w:rsidRPr="006F5EB7">
        <w:rPr>
          <w:rFonts w:ascii="David" w:hAnsi="David" w:cs="David"/>
          <w:sz w:val="24"/>
          <w:szCs w:val="24"/>
          <w:rtl/>
        </w:rPr>
        <w:t xml:space="preserve">, ובעודם ברכב נגע בחזה של </w:t>
      </w:r>
      <w:r w:rsidR="00B8665E">
        <w:rPr>
          <w:rFonts w:ascii="David" w:hAnsi="David" w:cs="David" w:hint="cs"/>
          <w:sz w:val="24"/>
          <w:szCs w:val="24"/>
          <w:rtl/>
        </w:rPr>
        <w:t>הקטינה</w:t>
      </w:r>
      <w:r w:rsidR="005970BA" w:rsidRPr="006F5EB7">
        <w:rPr>
          <w:rFonts w:ascii="David" w:hAnsi="David" w:cs="David"/>
          <w:sz w:val="24"/>
          <w:szCs w:val="24"/>
          <w:rtl/>
        </w:rPr>
        <w:t xml:space="preserve"> </w:t>
      </w:r>
      <w:r w:rsidRPr="006F5EB7">
        <w:rPr>
          <w:rFonts w:ascii="David" w:hAnsi="David" w:cs="David"/>
          <w:sz w:val="24"/>
          <w:szCs w:val="24"/>
          <w:rtl/>
        </w:rPr>
        <w:t xml:space="preserve">מתחת לחולצתה. בהמשך, בעל אותה הנאשם בכך שהחדיר את איבר מינו לפיה וכן החדיר את איבר מינו לאיבר מינה של </w:t>
      </w:r>
      <w:r w:rsidR="00B8665E">
        <w:rPr>
          <w:rFonts w:ascii="David" w:hAnsi="David" w:cs="David" w:hint="cs"/>
          <w:sz w:val="24"/>
          <w:szCs w:val="24"/>
          <w:rtl/>
        </w:rPr>
        <w:t>הקטינה</w:t>
      </w:r>
      <w:r w:rsidRPr="006F5EB7">
        <w:rPr>
          <w:rFonts w:ascii="David" w:hAnsi="David" w:cs="David"/>
          <w:sz w:val="24"/>
          <w:szCs w:val="24"/>
          <w:rtl/>
        </w:rPr>
        <w:t>, בהסכמתה.</w:t>
      </w:r>
    </w:p>
    <w:p w:rsidR="00826272" w:rsidRPr="005970BA" w:rsidRDefault="00826272" w:rsidP="00826272">
      <w:pPr>
        <w:pStyle w:val="ab"/>
        <w:spacing w:line="360" w:lineRule="auto"/>
        <w:ind w:left="1080"/>
        <w:jc w:val="both"/>
        <w:rPr>
          <w:rFonts w:ascii="David" w:hAnsi="David" w:cs="David"/>
          <w:sz w:val="24"/>
          <w:szCs w:val="24"/>
        </w:rPr>
      </w:pPr>
    </w:p>
    <w:p w:rsidR="00826272" w:rsidRPr="006F5EB7" w:rsidRDefault="00826272" w:rsidP="00826272">
      <w:pPr>
        <w:spacing w:line="360" w:lineRule="auto"/>
        <w:jc w:val="both"/>
        <w:rPr>
          <w:rFonts w:ascii="David" w:hAnsi="David"/>
          <w:b/>
          <w:bCs/>
          <w:u w:val="single"/>
        </w:rPr>
      </w:pPr>
      <w:r w:rsidRPr="006F5EB7">
        <w:rPr>
          <w:rFonts w:ascii="David" w:hAnsi="David"/>
          <w:b/>
          <w:bCs/>
          <w:u w:val="single"/>
          <w:rtl/>
        </w:rPr>
        <w:t>ראיות לעונש</w:t>
      </w:r>
    </w:p>
    <w:p w:rsidR="002757EB" w:rsidRDefault="00826272" w:rsidP="00B8665E">
      <w:pPr>
        <w:pStyle w:val="ab"/>
        <w:numPr>
          <w:ilvl w:val="0"/>
          <w:numId w:val="3"/>
        </w:numPr>
        <w:spacing w:line="360" w:lineRule="auto"/>
        <w:jc w:val="both"/>
        <w:rPr>
          <w:rFonts w:ascii="David" w:hAnsi="David" w:cs="David"/>
          <w:sz w:val="24"/>
          <w:szCs w:val="24"/>
        </w:rPr>
      </w:pPr>
      <w:r w:rsidRPr="006F5EB7">
        <w:rPr>
          <w:rFonts w:ascii="David" w:hAnsi="David" w:cs="David"/>
          <w:sz w:val="24"/>
          <w:szCs w:val="24"/>
          <w:rtl/>
        </w:rPr>
        <w:t xml:space="preserve">ב"כ המאשימה הגישה מכתב שכתבה אמהּ של </w:t>
      </w:r>
      <w:r w:rsidR="00B8665E">
        <w:rPr>
          <w:rFonts w:ascii="David" w:hAnsi="David" w:cs="David" w:hint="cs"/>
          <w:sz w:val="24"/>
          <w:szCs w:val="24"/>
          <w:rtl/>
        </w:rPr>
        <w:t>הקטינה</w:t>
      </w:r>
      <w:r w:rsidRPr="006F5EB7">
        <w:rPr>
          <w:rFonts w:ascii="David" w:hAnsi="David" w:cs="David"/>
          <w:sz w:val="24"/>
          <w:szCs w:val="24"/>
          <w:rtl/>
        </w:rPr>
        <w:t xml:space="preserve">, </w:t>
      </w:r>
      <w:r w:rsidR="002757EB">
        <w:rPr>
          <w:rFonts w:ascii="David" w:hAnsi="David" w:cs="David" w:hint="cs"/>
          <w:sz w:val="24"/>
          <w:szCs w:val="24"/>
          <w:rtl/>
        </w:rPr>
        <w:t xml:space="preserve">אשר תיארה את הפגיעה המתמשכת </w:t>
      </w:r>
      <w:r w:rsidR="005970BA">
        <w:rPr>
          <w:rFonts w:ascii="David" w:hAnsi="David" w:cs="David" w:hint="cs"/>
          <w:sz w:val="24"/>
          <w:szCs w:val="24"/>
          <w:rtl/>
        </w:rPr>
        <w:t>ב</w:t>
      </w:r>
      <w:r w:rsidR="00B8665E">
        <w:rPr>
          <w:rFonts w:ascii="David" w:hAnsi="David" w:cs="David" w:hint="cs"/>
          <w:sz w:val="24"/>
          <w:szCs w:val="24"/>
          <w:rtl/>
        </w:rPr>
        <w:t>קטינה</w:t>
      </w:r>
      <w:r w:rsidR="002757EB">
        <w:rPr>
          <w:rFonts w:ascii="David" w:hAnsi="David" w:cs="David" w:hint="cs"/>
          <w:sz w:val="24"/>
          <w:szCs w:val="24"/>
          <w:rtl/>
        </w:rPr>
        <w:t xml:space="preserve"> וכן את השפעתם הקשה של האירועים על כל המשפחה. בנוסף, פירטה את הקשיים היומיומיים איתם </w:t>
      </w:r>
      <w:r w:rsidR="00B8665E">
        <w:rPr>
          <w:rFonts w:ascii="David" w:hAnsi="David" w:cs="David" w:hint="cs"/>
          <w:sz w:val="24"/>
          <w:szCs w:val="24"/>
          <w:rtl/>
        </w:rPr>
        <w:t>הקטינה</w:t>
      </w:r>
      <w:r w:rsidR="005970BA" w:rsidRPr="006F5EB7">
        <w:rPr>
          <w:rFonts w:ascii="David" w:hAnsi="David" w:cs="David"/>
          <w:sz w:val="24"/>
          <w:szCs w:val="24"/>
          <w:rtl/>
        </w:rPr>
        <w:t xml:space="preserve"> </w:t>
      </w:r>
      <w:r w:rsidR="00DF7EF9">
        <w:rPr>
          <w:rFonts w:ascii="David" w:hAnsi="David" w:cs="David" w:hint="cs"/>
          <w:sz w:val="24"/>
          <w:szCs w:val="24"/>
          <w:rtl/>
        </w:rPr>
        <w:t>והמשפחה נאלצים להתמודד</w:t>
      </w:r>
      <w:r w:rsidR="00AC5BDC">
        <w:rPr>
          <w:rFonts w:ascii="David" w:hAnsi="David" w:cs="David" w:hint="cs"/>
          <w:sz w:val="24"/>
          <w:szCs w:val="24"/>
          <w:rtl/>
        </w:rPr>
        <w:t>,</w:t>
      </w:r>
      <w:r w:rsidR="00DF7EF9">
        <w:rPr>
          <w:rFonts w:ascii="David" w:hAnsi="David" w:cs="David" w:hint="cs"/>
          <w:sz w:val="24"/>
          <w:szCs w:val="24"/>
          <w:rtl/>
        </w:rPr>
        <w:t xml:space="preserve"> עד היום</w:t>
      </w:r>
      <w:r w:rsidR="0054084D">
        <w:rPr>
          <w:rFonts w:ascii="David" w:hAnsi="David" w:cs="David" w:hint="cs"/>
          <w:sz w:val="24"/>
          <w:szCs w:val="24"/>
          <w:rtl/>
        </w:rPr>
        <w:t>.</w:t>
      </w:r>
      <w:r w:rsidR="00DF7EF9">
        <w:rPr>
          <w:rFonts w:ascii="David" w:hAnsi="David" w:cs="David" w:hint="cs"/>
          <w:sz w:val="24"/>
          <w:szCs w:val="24"/>
          <w:rtl/>
        </w:rPr>
        <w:t xml:space="preserve"> </w:t>
      </w:r>
    </w:p>
    <w:p w:rsidR="00DF7EF9" w:rsidRDefault="00826272" w:rsidP="00717ADA">
      <w:pPr>
        <w:pStyle w:val="ab"/>
        <w:spacing w:line="360" w:lineRule="auto"/>
        <w:jc w:val="both"/>
        <w:rPr>
          <w:rFonts w:ascii="David" w:hAnsi="David" w:cs="David"/>
          <w:sz w:val="24"/>
          <w:szCs w:val="24"/>
          <w:rtl/>
        </w:rPr>
      </w:pPr>
      <w:r w:rsidRPr="006F5EB7">
        <w:rPr>
          <w:rFonts w:ascii="David" w:hAnsi="David" w:cs="David"/>
          <w:sz w:val="24"/>
          <w:szCs w:val="24"/>
          <w:rtl/>
        </w:rPr>
        <w:t>ב"כ הנאשם הגיש אסופת מסמכים רפואיים של הנאשם</w:t>
      </w:r>
      <w:r w:rsidR="002757EB">
        <w:rPr>
          <w:rFonts w:ascii="David" w:hAnsi="David" w:cs="David" w:hint="cs"/>
          <w:sz w:val="24"/>
          <w:szCs w:val="24"/>
          <w:rtl/>
        </w:rPr>
        <w:t xml:space="preserve"> המעידים על נכות של 10% ממשרד הבטחון בשל </w:t>
      </w:r>
      <w:r w:rsidR="00717ADA">
        <w:rPr>
          <w:rFonts w:ascii="David" w:hAnsi="David" w:cs="David" w:hint="cs"/>
          <w:sz w:val="24"/>
          <w:szCs w:val="24"/>
          <w:rtl/>
        </w:rPr>
        <w:t>הגבלה בתנועת ה</w:t>
      </w:r>
      <w:r w:rsidR="002757EB">
        <w:rPr>
          <w:rFonts w:ascii="David" w:hAnsi="David" w:cs="David" w:hint="cs"/>
          <w:sz w:val="24"/>
          <w:szCs w:val="24"/>
          <w:rtl/>
        </w:rPr>
        <w:t xml:space="preserve">קרסול ונכות של 40% מהביטוח הלאומי בשל </w:t>
      </w:r>
      <w:r w:rsidR="00717ADA">
        <w:rPr>
          <w:rFonts w:ascii="David" w:hAnsi="David" w:cs="David" w:hint="cs"/>
          <w:sz w:val="24"/>
          <w:szCs w:val="24"/>
          <w:rtl/>
        </w:rPr>
        <w:t>פגיעה בגבו</w:t>
      </w:r>
      <w:r w:rsidRPr="006F5EB7">
        <w:rPr>
          <w:rFonts w:ascii="David" w:hAnsi="David" w:cs="David"/>
          <w:sz w:val="24"/>
          <w:szCs w:val="24"/>
          <w:rtl/>
        </w:rPr>
        <w:t xml:space="preserve">. </w:t>
      </w:r>
      <w:r w:rsidR="002757EB">
        <w:rPr>
          <w:rFonts w:ascii="David" w:hAnsi="David" w:cs="David" w:hint="cs"/>
          <w:sz w:val="24"/>
          <w:szCs w:val="24"/>
          <w:rtl/>
        </w:rPr>
        <w:t xml:space="preserve">בנוסף, צירף מסמכים לפיהם הנאשם צפוי לעבור </w:t>
      </w:r>
      <w:r w:rsidR="00DF7EF9">
        <w:rPr>
          <w:rFonts w:ascii="David" w:hAnsi="David" w:cs="David" w:hint="cs"/>
          <w:sz w:val="24"/>
          <w:szCs w:val="24"/>
          <w:rtl/>
        </w:rPr>
        <w:t xml:space="preserve">ביום 6.6.2023 </w:t>
      </w:r>
      <w:r w:rsidR="002757EB">
        <w:rPr>
          <w:rFonts w:ascii="David" w:hAnsi="David" w:cs="David" w:hint="cs"/>
          <w:sz w:val="24"/>
          <w:szCs w:val="24"/>
          <w:rtl/>
        </w:rPr>
        <w:t xml:space="preserve">ניתוח </w:t>
      </w:r>
      <w:r w:rsidR="00DF7EF9">
        <w:rPr>
          <w:rFonts w:ascii="David" w:hAnsi="David" w:cs="David" w:hint="cs"/>
          <w:sz w:val="24"/>
          <w:szCs w:val="24"/>
          <w:rtl/>
        </w:rPr>
        <w:t xml:space="preserve">מיני מעקף קיבה, לשם הורדת משקל בשל דלקות ריאה חוזרות. </w:t>
      </w:r>
    </w:p>
    <w:p w:rsidR="00826272" w:rsidRPr="006F5EB7" w:rsidRDefault="00826272" w:rsidP="00DF7EF9">
      <w:pPr>
        <w:pStyle w:val="ab"/>
        <w:spacing w:line="360" w:lineRule="auto"/>
        <w:jc w:val="both"/>
        <w:rPr>
          <w:rFonts w:ascii="David" w:hAnsi="David" w:cs="David"/>
          <w:sz w:val="24"/>
          <w:szCs w:val="24"/>
          <w:rtl/>
        </w:rPr>
      </w:pPr>
      <w:r w:rsidRPr="006F5EB7">
        <w:rPr>
          <w:rFonts w:ascii="David" w:hAnsi="David" w:cs="David"/>
          <w:sz w:val="24"/>
          <w:szCs w:val="24"/>
          <w:rtl/>
        </w:rPr>
        <w:t>הצדדים צירפו פסיקה ל</w:t>
      </w:r>
      <w:r w:rsidR="00DF7EF9">
        <w:rPr>
          <w:rFonts w:ascii="David" w:hAnsi="David" w:cs="David" w:hint="cs"/>
          <w:sz w:val="24"/>
          <w:szCs w:val="24"/>
          <w:rtl/>
        </w:rPr>
        <w:t>ביסוס עמדתם ל</w:t>
      </w:r>
      <w:r w:rsidRPr="006F5EB7">
        <w:rPr>
          <w:rFonts w:ascii="David" w:hAnsi="David" w:cs="David"/>
          <w:sz w:val="24"/>
          <w:szCs w:val="24"/>
          <w:rtl/>
        </w:rPr>
        <w:t xml:space="preserve">עונש. </w:t>
      </w:r>
    </w:p>
    <w:p w:rsidR="00826272" w:rsidRPr="006F5EB7" w:rsidRDefault="00826272" w:rsidP="00826272">
      <w:pPr>
        <w:spacing w:line="360" w:lineRule="auto"/>
        <w:jc w:val="both"/>
        <w:rPr>
          <w:rFonts w:ascii="David" w:hAnsi="David"/>
          <w:b/>
          <w:bCs/>
          <w:u w:val="single"/>
        </w:rPr>
      </w:pPr>
    </w:p>
    <w:p w:rsidR="00826272" w:rsidRPr="006F5EB7" w:rsidRDefault="00826272" w:rsidP="00826272">
      <w:pPr>
        <w:spacing w:line="360" w:lineRule="auto"/>
        <w:jc w:val="both"/>
        <w:rPr>
          <w:rFonts w:ascii="David" w:hAnsi="David"/>
          <w:b/>
          <w:bCs/>
          <w:u w:val="single"/>
          <w:rtl/>
        </w:rPr>
      </w:pPr>
      <w:r w:rsidRPr="006F5EB7">
        <w:rPr>
          <w:rFonts w:ascii="David" w:hAnsi="David"/>
          <w:b/>
          <w:bCs/>
          <w:u w:val="single"/>
          <w:rtl/>
        </w:rPr>
        <w:t>תמצית טיעוני הצדדים</w:t>
      </w:r>
    </w:p>
    <w:p w:rsidR="00826272" w:rsidRPr="006F5EB7" w:rsidRDefault="00826272" w:rsidP="00B8665E">
      <w:pPr>
        <w:pStyle w:val="ab"/>
        <w:numPr>
          <w:ilvl w:val="0"/>
          <w:numId w:val="3"/>
        </w:numPr>
        <w:spacing w:line="360" w:lineRule="auto"/>
        <w:jc w:val="both"/>
        <w:rPr>
          <w:rFonts w:ascii="David" w:hAnsi="David" w:cs="David"/>
          <w:sz w:val="24"/>
          <w:szCs w:val="24"/>
          <w:rtl/>
        </w:rPr>
      </w:pPr>
      <w:r w:rsidRPr="006F5EB7">
        <w:rPr>
          <w:rFonts w:ascii="David" w:hAnsi="David" w:cs="David"/>
          <w:sz w:val="24"/>
          <w:szCs w:val="24"/>
          <w:rtl/>
        </w:rPr>
        <w:t xml:space="preserve">ב"כ המאשימה הדגישה בטיעוניה את פער הגילאים המשמעותי, שלושים וחמש שנים, בין הנאשם </w:t>
      </w:r>
      <w:r w:rsidR="0054084D">
        <w:rPr>
          <w:rFonts w:ascii="David" w:hAnsi="David" w:cs="David" w:hint="cs"/>
          <w:sz w:val="24"/>
          <w:szCs w:val="24"/>
          <w:rtl/>
        </w:rPr>
        <w:t>ל</w:t>
      </w:r>
      <w:r w:rsidR="00B8665E">
        <w:rPr>
          <w:rFonts w:ascii="David" w:hAnsi="David" w:cs="David" w:hint="cs"/>
          <w:sz w:val="24"/>
          <w:szCs w:val="24"/>
          <w:rtl/>
        </w:rPr>
        <w:t>קטינה</w:t>
      </w:r>
      <w:r w:rsidR="0054084D">
        <w:rPr>
          <w:rFonts w:ascii="David" w:hAnsi="David" w:cs="David" w:hint="cs"/>
          <w:sz w:val="24"/>
          <w:szCs w:val="24"/>
          <w:rtl/>
        </w:rPr>
        <w:t>,</w:t>
      </w:r>
      <w:r w:rsidRPr="006F5EB7">
        <w:rPr>
          <w:rFonts w:ascii="David" w:hAnsi="David" w:cs="David"/>
          <w:sz w:val="24"/>
          <w:szCs w:val="24"/>
          <w:rtl/>
        </w:rPr>
        <w:t xml:space="preserve"> וכן את העובדה ש</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הייתה בת חמש עשרה בלבד בעת ביצוע העבירות. בטיעוניה, התמקדה ב"כ המאשימה בנסיבות ביצוע העבירות, תוך ציון חומרת ביצוע</w:t>
      </w:r>
      <w:r w:rsidR="00717ADA">
        <w:rPr>
          <w:rFonts w:ascii="David" w:hAnsi="David" w:cs="David" w:hint="cs"/>
          <w:sz w:val="24"/>
          <w:szCs w:val="24"/>
          <w:rtl/>
        </w:rPr>
        <w:t>ן</w:t>
      </w:r>
      <w:r w:rsidRPr="006F5EB7">
        <w:rPr>
          <w:rFonts w:ascii="David" w:hAnsi="David" w:cs="David"/>
          <w:sz w:val="24"/>
          <w:szCs w:val="24"/>
          <w:rtl/>
        </w:rPr>
        <w:t xml:space="preserve"> תחילה במרחב הוירטואלי ובהמשך – אף מחוץ לו. בנוסף, פירטה את התמשכות הקשר בין הנאשם </w:t>
      </w:r>
      <w:r w:rsidR="0054084D">
        <w:rPr>
          <w:rFonts w:ascii="David" w:hAnsi="David" w:cs="David" w:hint="cs"/>
          <w:sz w:val="24"/>
          <w:szCs w:val="24"/>
          <w:rtl/>
        </w:rPr>
        <w:t>ל</w:t>
      </w:r>
      <w:r w:rsidR="00B8665E">
        <w:rPr>
          <w:rFonts w:ascii="David" w:hAnsi="David" w:cs="David" w:hint="cs"/>
          <w:sz w:val="24"/>
          <w:szCs w:val="24"/>
          <w:rtl/>
        </w:rPr>
        <w:t>קטינה</w:t>
      </w:r>
      <w:r w:rsidRPr="006F5EB7">
        <w:rPr>
          <w:rFonts w:ascii="David" w:hAnsi="David" w:cs="David"/>
          <w:sz w:val="24"/>
          <w:szCs w:val="24"/>
          <w:rtl/>
        </w:rPr>
        <w:t>, את העובדה שהנאשם רכש את אמונה, יזם שליחת צילום של איבר מינו, תכנ</w:t>
      </w:r>
      <w:r w:rsidR="00717ADA">
        <w:rPr>
          <w:rFonts w:ascii="David" w:hAnsi="David" w:cs="David" w:hint="cs"/>
          <w:sz w:val="24"/>
          <w:szCs w:val="24"/>
          <w:rtl/>
        </w:rPr>
        <w:t>ן</w:t>
      </w:r>
      <w:r w:rsidRPr="006F5EB7">
        <w:rPr>
          <w:rFonts w:ascii="David" w:hAnsi="David" w:cs="David"/>
          <w:sz w:val="24"/>
          <w:szCs w:val="24"/>
          <w:rtl/>
        </w:rPr>
        <w:t xml:space="preserve"> ויזם את המפגש ביניהם וקיים איתה לבסוף יחסי מין. במהלך כל תקופה זו, לא עצר הנאשם ולא חשב על הפסקת מעשיו בשל פגיעה ב</w:t>
      </w:r>
      <w:r w:rsidR="00B8665E">
        <w:rPr>
          <w:rFonts w:ascii="David" w:hAnsi="David" w:cs="David" w:hint="cs"/>
          <w:sz w:val="24"/>
          <w:szCs w:val="24"/>
          <w:rtl/>
        </w:rPr>
        <w:t>קטינה</w:t>
      </w:r>
      <w:r w:rsidRPr="006F5EB7">
        <w:rPr>
          <w:rFonts w:ascii="David" w:hAnsi="David" w:cs="David"/>
          <w:sz w:val="24"/>
          <w:szCs w:val="24"/>
          <w:rtl/>
        </w:rPr>
        <w:t>. דגש מיוחד ביקשה לתת לנזקים הנפשיים שנגרמו ל</w:t>
      </w:r>
      <w:r w:rsidR="00B8665E">
        <w:rPr>
          <w:rFonts w:ascii="David" w:hAnsi="David" w:cs="David" w:hint="cs"/>
          <w:sz w:val="24"/>
          <w:szCs w:val="24"/>
          <w:rtl/>
        </w:rPr>
        <w:t>קטינה</w:t>
      </w:r>
      <w:r w:rsidRPr="006F5EB7">
        <w:rPr>
          <w:rFonts w:ascii="David" w:hAnsi="David" w:cs="David"/>
          <w:sz w:val="24"/>
          <w:szCs w:val="24"/>
          <w:rtl/>
        </w:rPr>
        <w:t xml:space="preserve"> לאחר שהבינה את משמעות המעשים, זאת בהתאם למפורט בראיות שהוצגו במהלך</w:t>
      </w:r>
      <w:r w:rsidR="0054084D">
        <w:rPr>
          <w:rFonts w:ascii="David" w:hAnsi="David" w:cs="David"/>
          <w:sz w:val="24"/>
          <w:szCs w:val="24"/>
          <w:rtl/>
        </w:rPr>
        <w:t xml:space="preserve"> ניהול ההליך וכן מכתב אימהּ של </w:t>
      </w:r>
      <w:r w:rsidR="00B8665E">
        <w:rPr>
          <w:rFonts w:ascii="David" w:hAnsi="David" w:cs="David" w:hint="cs"/>
          <w:sz w:val="24"/>
          <w:szCs w:val="24"/>
          <w:rtl/>
        </w:rPr>
        <w:t>הקטינה</w:t>
      </w:r>
      <w:r w:rsidRPr="006F5EB7">
        <w:rPr>
          <w:rFonts w:ascii="David" w:hAnsi="David" w:cs="David"/>
          <w:sz w:val="24"/>
          <w:szCs w:val="24"/>
          <w:rtl/>
        </w:rPr>
        <w:t>. ב"כ המאשימה התייחסה בטיעוניה לחומרי התועבה שנתפסו בטלפון הנייד של הנאשם, אשר אמנם לא כלל סרטונים רבים אך חומרת העבירה נובעת לטענתה מאופי הסרטונים</w:t>
      </w:r>
      <w:r w:rsidR="00717ADA">
        <w:rPr>
          <w:rFonts w:ascii="David" w:hAnsi="David" w:cs="David" w:hint="cs"/>
          <w:sz w:val="24"/>
          <w:szCs w:val="24"/>
          <w:rtl/>
        </w:rPr>
        <w:t>,</w:t>
      </w:r>
      <w:r w:rsidRPr="006F5EB7">
        <w:rPr>
          <w:rFonts w:ascii="David" w:hAnsi="David" w:cs="David"/>
          <w:sz w:val="24"/>
          <w:szCs w:val="24"/>
          <w:rtl/>
        </w:rPr>
        <w:t xml:space="preserve"> כאשר באחד מהם נראית ילדה כבת</w:t>
      </w:r>
      <w:r w:rsidR="00717ADA">
        <w:rPr>
          <w:rFonts w:ascii="David" w:hAnsi="David" w:cs="David" w:hint="cs"/>
          <w:sz w:val="24"/>
          <w:szCs w:val="24"/>
          <w:rtl/>
        </w:rPr>
        <w:t xml:space="preserve"> </w:t>
      </w:r>
      <w:r w:rsidRPr="006F5EB7">
        <w:rPr>
          <w:rFonts w:ascii="David" w:hAnsi="David" w:cs="David"/>
          <w:sz w:val="24"/>
          <w:szCs w:val="24"/>
          <w:rtl/>
        </w:rPr>
        <w:t xml:space="preserve">6-7. לאחר שציינה את הערכים המוגנים שנפגעו מביצוע העבירות וכן הפנתה לפסיקה, עתרה ב"כ המאשימה לקביעת מתחמי ענישה נפרדים לכל אחת מהעבירות בהן הורשע הנאשם: לגבי עבירה גרם בעילה אסורה בהסכמה, מתחם ענישה הנע בין 12 חודשי מאסר ועד 36 חודשים; לגבי עבירת בעילה אסורה בהסכמה, מתחם ענישה הנע בין 24 חודשי מאסר ועד 48 חודשים; לגבי עבירת החזקת חומרי תועבה,  מתחם ענישה הנע בין מאסר קצר לריצוי בעבודות שרות ועד 12 חודשי מאסר. במסגרת עתירתה </w:t>
      </w:r>
      <w:r w:rsidR="006E435E">
        <w:rPr>
          <w:rFonts w:ascii="David" w:hAnsi="David" w:cs="David" w:hint="cs"/>
          <w:sz w:val="24"/>
          <w:szCs w:val="24"/>
          <w:rtl/>
        </w:rPr>
        <w:t xml:space="preserve">לעונש, </w:t>
      </w:r>
      <w:r w:rsidRPr="006F5EB7">
        <w:rPr>
          <w:rFonts w:ascii="David" w:hAnsi="David" w:cs="David"/>
          <w:sz w:val="24"/>
          <w:szCs w:val="24"/>
          <w:rtl/>
        </w:rPr>
        <w:t xml:space="preserve">טענה כי יש מקום להעלאת רף הענישה המקובל בגין עבירות בעילה אסורה בהסכמה, זאת בהתחשב במגמה דומה בגין עבירות מין, מגמה שפסחה עד כה </w:t>
      </w:r>
      <w:r w:rsidR="00717ADA">
        <w:rPr>
          <w:rFonts w:ascii="David" w:hAnsi="David" w:cs="David" w:hint="cs"/>
          <w:sz w:val="24"/>
          <w:szCs w:val="24"/>
          <w:rtl/>
        </w:rPr>
        <w:t xml:space="preserve">על </w:t>
      </w:r>
      <w:r w:rsidRPr="006F5EB7">
        <w:rPr>
          <w:rFonts w:ascii="David" w:hAnsi="David" w:cs="David"/>
          <w:sz w:val="24"/>
          <w:szCs w:val="24"/>
          <w:rtl/>
        </w:rPr>
        <w:t xml:space="preserve">עבירות אלה. </w:t>
      </w:r>
    </w:p>
    <w:p w:rsidR="00826272" w:rsidRPr="006F5EB7" w:rsidRDefault="00826272" w:rsidP="00B8665E">
      <w:pPr>
        <w:pStyle w:val="ab"/>
        <w:spacing w:line="360" w:lineRule="auto"/>
        <w:jc w:val="both"/>
        <w:rPr>
          <w:rFonts w:ascii="David" w:hAnsi="David" w:cs="David"/>
          <w:sz w:val="24"/>
          <w:szCs w:val="24"/>
        </w:rPr>
      </w:pPr>
      <w:r w:rsidRPr="006F5EB7">
        <w:rPr>
          <w:rFonts w:ascii="David" w:hAnsi="David" w:cs="David"/>
          <w:sz w:val="24"/>
          <w:szCs w:val="24"/>
          <w:rtl/>
        </w:rPr>
        <w:lastRenderedPageBreak/>
        <w:t xml:space="preserve">ב"כ המאשימה התייחסה לחלוף הזמן מעת ביצוע העבירות, וטענה כי כתב האישום הוגש כשנתיים וחצי לאחר ביצוע העבירות בשל מצבה הנפשי של </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אשר חקירותיה נדחו מספר פעמים עקב הידרדרות במצבה הנפשי</w:t>
      </w:r>
      <w:r w:rsidR="006E435E">
        <w:rPr>
          <w:rFonts w:ascii="David" w:hAnsi="David" w:cs="David" w:hint="cs"/>
          <w:sz w:val="24"/>
          <w:szCs w:val="24"/>
          <w:rtl/>
        </w:rPr>
        <w:t>,</w:t>
      </w:r>
      <w:r w:rsidRPr="006F5EB7">
        <w:rPr>
          <w:rFonts w:ascii="David" w:hAnsi="David" w:cs="David"/>
          <w:sz w:val="24"/>
          <w:szCs w:val="24"/>
          <w:rtl/>
        </w:rPr>
        <w:t xml:space="preserve"> ובהמשך התמשך ההליך המשפטי אף בשל נסיבות אלה. בנסיבות כוללות אלה, ולאחר שנתנה דעתה לכך שמדובר בנאשם ללא עבר פלילי, עתרה ב"כ המאשימה למקם את הנאשם ברף התחתון של מתחם הענישה ביחס לעבירת החזקת חומרי תועבה, במרכז המתחם בעבירת גרם בעילה אסורה בהסכמה וברף הגבוה של המתחם לגבי עבירת בעילה אסורה בהסכמה. בנוסף, עתרה </w:t>
      </w:r>
      <w:r w:rsidR="006E435E">
        <w:rPr>
          <w:rFonts w:ascii="David" w:hAnsi="David" w:cs="David" w:hint="cs"/>
          <w:sz w:val="24"/>
          <w:szCs w:val="24"/>
          <w:rtl/>
        </w:rPr>
        <w:t>להטלת מאסר על תנאי ו</w:t>
      </w:r>
      <w:r w:rsidRPr="006F5EB7">
        <w:rPr>
          <w:rFonts w:ascii="David" w:hAnsi="David" w:cs="David"/>
          <w:sz w:val="24"/>
          <w:szCs w:val="24"/>
          <w:rtl/>
        </w:rPr>
        <w:t>פסיקת פיצוי למתלוננת.</w:t>
      </w:r>
    </w:p>
    <w:p w:rsidR="00826272" w:rsidRPr="006E435E" w:rsidRDefault="00826272" w:rsidP="00826272">
      <w:pPr>
        <w:pStyle w:val="ab"/>
        <w:spacing w:line="360" w:lineRule="auto"/>
        <w:jc w:val="both"/>
        <w:rPr>
          <w:rFonts w:ascii="David" w:hAnsi="David" w:cs="David"/>
          <w:sz w:val="24"/>
          <w:szCs w:val="24"/>
        </w:rPr>
      </w:pPr>
    </w:p>
    <w:p w:rsidR="00826272" w:rsidRPr="006F5EB7" w:rsidRDefault="00826272" w:rsidP="00B8665E">
      <w:pPr>
        <w:pStyle w:val="ab"/>
        <w:numPr>
          <w:ilvl w:val="0"/>
          <w:numId w:val="3"/>
        </w:numPr>
        <w:spacing w:line="360" w:lineRule="auto"/>
        <w:jc w:val="both"/>
        <w:rPr>
          <w:rFonts w:ascii="David" w:hAnsi="David" w:cs="David"/>
          <w:sz w:val="24"/>
          <w:szCs w:val="24"/>
          <w:rtl/>
        </w:rPr>
      </w:pPr>
      <w:r w:rsidRPr="006F5EB7">
        <w:rPr>
          <w:rFonts w:ascii="David" w:hAnsi="David" w:cs="David"/>
          <w:sz w:val="24"/>
          <w:szCs w:val="24"/>
          <w:rtl/>
        </w:rPr>
        <w:t xml:space="preserve">ב"כ הנאשם </w:t>
      </w:r>
      <w:r w:rsidR="00A937C1">
        <w:rPr>
          <w:rFonts w:ascii="David" w:hAnsi="David" w:cs="David" w:hint="cs"/>
          <w:sz w:val="24"/>
          <w:szCs w:val="24"/>
          <w:rtl/>
        </w:rPr>
        <w:t xml:space="preserve">טען כי יש לקבוע </w:t>
      </w:r>
      <w:r w:rsidRPr="006F5EB7">
        <w:rPr>
          <w:rFonts w:ascii="David" w:hAnsi="David" w:cs="David"/>
          <w:sz w:val="24"/>
          <w:szCs w:val="24"/>
          <w:rtl/>
        </w:rPr>
        <w:t xml:space="preserve">מתחם ענישה אחד לכל העבירות, לאור קיומו של קשר הדוק בין המקרים, סמיכות זמנים ביניהם ומתלוננת אחת. בטיעוניו, חלק על מידת הפגיעה בערכים המוגנים שציינה ב"כ המאשימה, זאת לאור מספר סוגיות: ראשית, טען שהנאשם לא היה מודע למצבה הנפשי של </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 xml:space="preserve">ולפיכך לא ניצל את מצבה; שנית, טען כי נסיבות המעשים המיניים בהם הורשע הנאשם אינן חמורות כמו </w:t>
      </w:r>
      <w:r w:rsidR="00A937C1">
        <w:rPr>
          <w:rFonts w:ascii="David" w:hAnsi="David" w:cs="David" w:hint="cs"/>
          <w:sz w:val="24"/>
          <w:szCs w:val="24"/>
          <w:rtl/>
        </w:rPr>
        <w:t xml:space="preserve">ביצוע </w:t>
      </w:r>
      <w:r w:rsidRPr="006F5EB7">
        <w:rPr>
          <w:rFonts w:ascii="David" w:hAnsi="David" w:cs="David"/>
          <w:sz w:val="24"/>
          <w:szCs w:val="24"/>
          <w:rtl/>
        </w:rPr>
        <w:t>עבירות מין ללא הסכמה או כלפי מתלוננות צעירות מ</w:t>
      </w:r>
      <w:r w:rsidR="00B8665E">
        <w:rPr>
          <w:rFonts w:ascii="David" w:hAnsi="David" w:cs="David" w:hint="cs"/>
          <w:sz w:val="24"/>
          <w:szCs w:val="24"/>
          <w:rtl/>
        </w:rPr>
        <w:t>הקטינה</w:t>
      </w:r>
      <w:r w:rsidRPr="006F5EB7">
        <w:rPr>
          <w:rFonts w:ascii="David" w:hAnsi="David" w:cs="David"/>
          <w:sz w:val="24"/>
          <w:szCs w:val="24"/>
          <w:rtl/>
        </w:rPr>
        <w:t>; שלישית, טען כי יש להתחשב בכך שגיל</w:t>
      </w:r>
      <w:r w:rsidR="0054084D">
        <w:rPr>
          <w:rFonts w:ascii="David" w:hAnsi="David" w:cs="David" w:hint="cs"/>
          <w:sz w:val="24"/>
          <w:szCs w:val="24"/>
          <w:rtl/>
        </w:rPr>
        <w:t>ה של</w:t>
      </w:r>
      <w:r w:rsidRPr="006F5EB7">
        <w:rPr>
          <w:rFonts w:ascii="David" w:hAnsi="David" w:cs="David"/>
          <w:sz w:val="24"/>
          <w:szCs w:val="24"/>
          <w:rtl/>
        </w:rPr>
        <w:t xml:space="preserve"> </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 xml:space="preserve">היה קרוב ל-16, גיל ההסכמה; רביעית, טען כי אין מדובר בפגיעה מצד אדם קרוב, בן משפחה או מטפל שקורבן העבירה תלויה בו; חמישית, טען כי אין מדובר במקרה חמור בו מדובר בנאשם עם סטיה פדופילית, זאת </w:t>
      </w:r>
      <w:r w:rsidR="00A937C1">
        <w:rPr>
          <w:rFonts w:ascii="David" w:hAnsi="David" w:cs="David" w:hint="cs"/>
          <w:sz w:val="24"/>
          <w:szCs w:val="24"/>
          <w:rtl/>
        </w:rPr>
        <w:t xml:space="preserve">בהתחשב בכך </w:t>
      </w:r>
      <w:r w:rsidRPr="006F5EB7">
        <w:rPr>
          <w:rFonts w:ascii="David" w:hAnsi="David" w:cs="David"/>
          <w:sz w:val="24"/>
          <w:szCs w:val="24"/>
          <w:rtl/>
        </w:rPr>
        <w:t xml:space="preserve">שבית המשפט נמנע מלקבל הערכת מסוכנות המצביעה על כך. ב"כ הנאשם ציין כי לאור העובדה שבסופו של יום </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לא העידה בבית המשפט, נחסכה ממנה פגיעה משמעותית, נתון אותו יש לזקוף לטובת הנאשם. לאחר שהפנה לפסיקה בענ</w:t>
      </w:r>
      <w:r w:rsidR="006806CE">
        <w:rPr>
          <w:rFonts w:ascii="David" w:hAnsi="David" w:cs="David" w:hint="cs"/>
          <w:sz w:val="24"/>
          <w:szCs w:val="24"/>
          <w:rtl/>
        </w:rPr>
        <w:t>י</w:t>
      </w:r>
      <w:r w:rsidRPr="006F5EB7">
        <w:rPr>
          <w:rFonts w:ascii="David" w:hAnsi="David" w:cs="David"/>
          <w:sz w:val="24"/>
          <w:szCs w:val="24"/>
          <w:rtl/>
        </w:rPr>
        <w:t xml:space="preserve">ין מדיניות הענישה, עתר הסנגור לקביעת מתחם ענישה הנע בין מספר חודשי מאסר לריצוי בעבודות שרות ועד ל-18 חודשי מאסר. אשר לעבירת החזקת חומרי תועבה, טען כי ככל שבית המשפט ייראה לנכון לקבוע מתחם ענישה נפרד, הרי שתחתיתו היא מאסר מותנה. </w:t>
      </w:r>
    </w:p>
    <w:p w:rsidR="00826272" w:rsidRPr="006F5EB7" w:rsidRDefault="00826272" w:rsidP="00A937C1">
      <w:pPr>
        <w:pStyle w:val="ab"/>
        <w:spacing w:line="360" w:lineRule="auto"/>
        <w:jc w:val="both"/>
        <w:rPr>
          <w:rFonts w:ascii="David" w:hAnsi="David" w:cs="David"/>
          <w:sz w:val="24"/>
          <w:szCs w:val="24"/>
        </w:rPr>
      </w:pPr>
      <w:r w:rsidRPr="006F5EB7">
        <w:rPr>
          <w:rFonts w:ascii="David" w:hAnsi="David" w:cs="David"/>
          <w:sz w:val="24"/>
          <w:szCs w:val="24"/>
          <w:rtl/>
        </w:rPr>
        <w:t xml:space="preserve">לגבי מיקום הנאשם במתחם הענישה, ציין בא כוחו את העובדה שהוא נעדר עבר פלילי,  </w:t>
      </w:r>
      <w:r w:rsidR="00A937C1">
        <w:rPr>
          <w:rFonts w:ascii="David" w:hAnsi="David" w:cs="David" w:hint="cs"/>
          <w:sz w:val="24"/>
          <w:szCs w:val="24"/>
          <w:rtl/>
        </w:rPr>
        <w:t>ו</w:t>
      </w:r>
      <w:r w:rsidRPr="006F5EB7">
        <w:rPr>
          <w:rFonts w:ascii="David" w:hAnsi="David" w:cs="David"/>
          <w:sz w:val="24"/>
          <w:szCs w:val="24"/>
          <w:rtl/>
        </w:rPr>
        <w:t>הדגיש את מצבו הרפואי כפי שעולה מהמסמכים שהוגשו. בנסיבות אלה, טען כי אף אם בית המשפט לא יקבל את טיעוני ההגנה, הרי שלאור הפסיקה בענ</w:t>
      </w:r>
      <w:r w:rsidR="006806CE">
        <w:rPr>
          <w:rFonts w:ascii="David" w:hAnsi="David" w:cs="David" w:hint="cs"/>
          <w:sz w:val="24"/>
          <w:szCs w:val="24"/>
          <w:rtl/>
        </w:rPr>
        <w:t>י</w:t>
      </w:r>
      <w:r w:rsidRPr="006F5EB7">
        <w:rPr>
          <w:rFonts w:ascii="David" w:hAnsi="David" w:cs="David"/>
          <w:sz w:val="24"/>
          <w:szCs w:val="24"/>
          <w:rtl/>
        </w:rPr>
        <w:t>ין לופ</w:t>
      </w:r>
      <w:r w:rsidR="00B604FD">
        <w:rPr>
          <w:rFonts w:ascii="David" w:hAnsi="David" w:cs="David" w:hint="cs"/>
          <w:sz w:val="24"/>
          <w:szCs w:val="24"/>
          <w:rtl/>
        </w:rPr>
        <w:t>ו</w:t>
      </w:r>
      <w:r w:rsidRPr="006F5EB7">
        <w:rPr>
          <w:rFonts w:ascii="David" w:hAnsi="David" w:cs="David"/>
          <w:sz w:val="24"/>
          <w:szCs w:val="24"/>
          <w:rtl/>
        </w:rPr>
        <w:t>ליאנסקי יש להימנע מהטלת מאסר בפועל על הנאשם. בנוסף, ביקש לתת משקל לחלוף הזמן מביצוע העבירות. לפיכך, ביקש ב"כ הנאשם למקם את הנאשם בשליש התחתון של מתחם הענישה, וכי בית המשפט יורה על קבלת חוות דעת הממונה על עבודות השרות וכן על קבלת הערכת מסוכנות מינית.</w:t>
      </w:r>
    </w:p>
    <w:p w:rsidR="00826272" w:rsidRPr="006F5EB7" w:rsidRDefault="00826272" w:rsidP="00826272">
      <w:pPr>
        <w:pStyle w:val="ab"/>
        <w:spacing w:line="360" w:lineRule="auto"/>
        <w:jc w:val="both"/>
        <w:rPr>
          <w:rFonts w:ascii="David" w:hAnsi="David" w:cs="David"/>
          <w:sz w:val="24"/>
          <w:szCs w:val="24"/>
        </w:rPr>
      </w:pPr>
    </w:p>
    <w:p w:rsidR="00826272" w:rsidRPr="006F5EB7" w:rsidRDefault="00826272" w:rsidP="00A61778">
      <w:pPr>
        <w:pStyle w:val="ab"/>
        <w:numPr>
          <w:ilvl w:val="0"/>
          <w:numId w:val="3"/>
        </w:numPr>
        <w:spacing w:line="360" w:lineRule="auto"/>
        <w:jc w:val="both"/>
        <w:rPr>
          <w:rFonts w:ascii="David" w:hAnsi="David" w:cs="David"/>
          <w:sz w:val="24"/>
          <w:szCs w:val="24"/>
          <w:rtl/>
        </w:rPr>
      </w:pPr>
      <w:r w:rsidRPr="006F5EB7">
        <w:rPr>
          <w:rFonts w:ascii="David" w:hAnsi="David" w:cs="David"/>
          <w:sz w:val="24"/>
          <w:szCs w:val="24"/>
          <w:rtl/>
        </w:rPr>
        <w:t xml:space="preserve">הנאשם בדברו טען כי הוא חף מפשע, </w:t>
      </w:r>
      <w:r w:rsidR="00A61778">
        <w:rPr>
          <w:rFonts w:ascii="David" w:hAnsi="David" w:cs="David" w:hint="cs"/>
          <w:sz w:val="24"/>
          <w:szCs w:val="24"/>
          <w:rtl/>
        </w:rPr>
        <w:t>"</w:t>
      </w:r>
      <w:r w:rsidR="00A61778" w:rsidRPr="00A61778">
        <w:rPr>
          <w:rFonts w:ascii="David" w:hAnsi="David" w:cs="David" w:hint="cs"/>
          <w:b/>
          <w:bCs/>
          <w:sz w:val="24"/>
          <w:szCs w:val="24"/>
          <w:rtl/>
        </w:rPr>
        <w:t>לא היה ולא נברא שום דבר</w:t>
      </w:r>
      <w:r w:rsidR="00A61778">
        <w:rPr>
          <w:rFonts w:ascii="David" w:hAnsi="David" w:cs="David" w:hint="cs"/>
          <w:sz w:val="24"/>
          <w:szCs w:val="24"/>
          <w:rtl/>
        </w:rPr>
        <w:t>"</w:t>
      </w:r>
      <w:r w:rsidRPr="006F5EB7">
        <w:rPr>
          <w:rFonts w:ascii="David" w:hAnsi="David" w:cs="David"/>
          <w:sz w:val="24"/>
          <w:szCs w:val="24"/>
          <w:rtl/>
        </w:rPr>
        <w:t xml:space="preserve">. עוד טען כי הוא סובל מגב שבור, עם 52% נכות, </w:t>
      </w:r>
      <w:r w:rsidR="00A61778">
        <w:rPr>
          <w:rFonts w:ascii="David" w:hAnsi="David" w:cs="David" w:hint="cs"/>
          <w:sz w:val="24"/>
          <w:szCs w:val="24"/>
          <w:rtl/>
        </w:rPr>
        <w:t>משתמש ב</w:t>
      </w:r>
      <w:r w:rsidRPr="006F5EB7">
        <w:rPr>
          <w:rFonts w:ascii="David" w:hAnsi="David" w:cs="David"/>
          <w:sz w:val="24"/>
          <w:szCs w:val="24"/>
          <w:rtl/>
        </w:rPr>
        <w:t>מריחואנה רפואית, נזקק לתרופות שונות ועתיד לעבור ניתוח במעיים. לגבי מצבו המשפחתי, ציין הנאשם כי הוא גרוש עם שני ילדים.</w:t>
      </w:r>
    </w:p>
    <w:p w:rsidR="00826272" w:rsidRDefault="00826272" w:rsidP="00826272">
      <w:pPr>
        <w:pStyle w:val="ab"/>
        <w:spacing w:line="360" w:lineRule="auto"/>
        <w:jc w:val="both"/>
        <w:rPr>
          <w:rFonts w:ascii="David" w:hAnsi="David" w:cs="David"/>
          <w:sz w:val="24"/>
          <w:szCs w:val="24"/>
          <w:rtl/>
        </w:rPr>
      </w:pPr>
    </w:p>
    <w:p w:rsidR="00AC5BDC" w:rsidRPr="006F5EB7" w:rsidRDefault="00AC5BDC" w:rsidP="00826272">
      <w:pPr>
        <w:pStyle w:val="ab"/>
        <w:spacing w:line="360" w:lineRule="auto"/>
        <w:jc w:val="both"/>
        <w:rPr>
          <w:rFonts w:ascii="David" w:hAnsi="David" w:cs="David"/>
          <w:sz w:val="24"/>
          <w:szCs w:val="24"/>
        </w:rPr>
      </w:pPr>
    </w:p>
    <w:p w:rsidR="00826272" w:rsidRPr="006F5EB7" w:rsidRDefault="00826272" w:rsidP="00826272">
      <w:pPr>
        <w:spacing w:line="360" w:lineRule="auto"/>
        <w:jc w:val="both"/>
        <w:rPr>
          <w:rFonts w:ascii="David" w:hAnsi="David"/>
          <w:b/>
          <w:bCs/>
          <w:u w:val="single"/>
        </w:rPr>
      </w:pPr>
      <w:r w:rsidRPr="006F5EB7">
        <w:rPr>
          <w:rFonts w:ascii="David" w:hAnsi="David"/>
          <w:b/>
          <w:bCs/>
          <w:u w:val="single"/>
          <w:rtl/>
        </w:rPr>
        <w:lastRenderedPageBreak/>
        <w:t>דיון והכרעה</w:t>
      </w:r>
    </w:p>
    <w:p w:rsidR="00826272" w:rsidRPr="006F5EB7" w:rsidRDefault="00826272" w:rsidP="00826272">
      <w:pPr>
        <w:spacing w:line="360" w:lineRule="auto"/>
        <w:jc w:val="both"/>
        <w:rPr>
          <w:rFonts w:ascii="David" w:hAnsi="David"/>
          <w:u w:val="single"/>
          <w:rtl/>
        </w:rPr>
      </w:pPr>
      <w:r w:rsidRPr="006F5EB7">
        <w:rPr>
          <w:rFonts w:ascii="David" w:hAnsi="David"/>
          <w:u w:val="single"/>
          <w:rtl/>
        </w:rPr>
        <w:t xml:space="preserve">קביעת מתחם העונש ההולם </w:t>
      </w:r>
    </w:p>
    <w:p w:rsidR="00826272" w:rsidRPr="006F5EB7" w:rsidRDefault="00826272" w:rsidP="006857D2">
      <w:pPr>
        <w:pStyle w:val="ab"/>
        <w:numPr>
          <w:ilvl w:val="0"/>
          <w:numId w:val="3"/>
        </w:numPr>
        <w:spacing w:line="360" w:lineRule="auto"/>
        <w:jc w:val="both"/>
        <w:rPr>
          <w:rFonts w:ascii="David" w:hAnsi="David" w:cs="David"/>
          <w:color w:val="000000"/>
          <w:sz w:val="24"/>
          <w:szCs w:val="24"/>
          <w:rtl/>
        </w:rPr>
      </w:pPr>
      <w:r w:rsidRPr="006F5EB7">
        <w:rPr>
          <w:rFonts w:ascii="David" w:hAnsi="David" w:cs="David"/>
          <w:sz w:val="24"/>
          <w:szCs w:val="24"/>
          <w:rtl/>
        </w:rPr>
        <w:t xml:space="preserve">הצדדים חלוקים ביחס לשאלה האם יש לקבוע מתחם ענישה נפרד לכל עבירה בה הורשע הנאשם או שמא מתחם ענישה אחד הכולל את כל העבירות. יש לבחון סוגיה זו בהתאם למבחן הקשר ההדוק (ע"פ 4910/13 </w:t>
      </w:r>
      <w:r w:rsidRPr="006F5EB7">
        <w:rPr>
          <w:rFonts w:ascii="David" w:hAnsi="David" w:cs="David"/>
          <w:b/>
          <w:bCs/>
          <w:sz w:val="24"/>
          <w:szCs w:val="24"/>
          <w:rtl/>
        </w:rPr>
        <w:t>אחמד בני ג'אבר נ' מדינת ישראל</w:t>
      </w:r>
      <w:r w:rsidRPr="006F5EB7">
        <w:rPr>
          <w:rFonts w:ascii="David" w:hAnsi="David" w:cs="David"/>
          <w:sz w:val="24"/>
          <w:szCs w:val="24"/>
          <w:rtl/>
        </w:rPr>
        <w:t xml:space="preserve"> (29.10.2014)), במסגרתו נסיבות המקרים מלמדות על עוצמת הקשר בין העבירות. </w:t>
      </w:r>
      <w:r w:rsidR="00A61778">
        <w:rPr>
          <w:rFonts w:ascii="David" w:hAnsi="David" w:cs="David" w:hint="cs"/>
          <w:sz w:val="24"/>
          <w:szCs w:val="24"/>
          <w:rtl/>
        </w:rPr>
        <w:t xml:space="preserve">מספר </w:t>
      </w:r>
      <w:r w:rsidR="006857D2">
        <w:rPr>
          <w:rFonts w:ascii="David" w:hAnsi="David" w:cs="David" w:hint="cs"/>
          <w:sz w:val="24"/>
          <w:szCs w:val="24"/>
          <w:rtl/>
        </w:rPr>
        <w:t xml:space="preserve">רב של </w:t>
      </w:r>
      <w:r w:rsidRPr="006F5EB7">
        <w:rPr>
          <w:rFonts w:ascii="David" w:hAnsi="David" w:cs="David"/>
          <w:sz w:val="24"/>
          <w:szCs w:val="24"/>
          <w:rtl/>
        </w:rPr>
        <w:t>עבירות, ביצוע מתמשך ואף קיומם של מספר קורבנות עבירה, אינם שול</w:t>
      </w:r>
      <w:r w:rsidR="00A61778">
        <w:rPr>
          <w:rFonts w:ascii="David" w:hAnsi="David" w:cs="David" w:hint="cs"/>
          <w:sz w:val="24"/>
          <w:szCs w:val="24"/>
          <w:rtl/>
        </w:rPr>
        <w:t>ל</w:t>
      </w:r>
      <w:r w:rsidRPr="006F5EB7">
        <w:rPr>
          <w:rFonts w:ascii="David" w:hAnsi="David" w:cs="David"/>
          <w:sz w:val="24"/>
          <w:szCs w:val="24"/>
          <w:rtl/>
        </w:rPr>
        <w:t>ים את האפשרות לראות במכלול זה משום תכנית עבריינית אחת המחייבת קביעת מתחם ענישה אחד (ראו</w:t>
      </w:r>
      <w:r w:rsidRPr="006F5EB7">
        <w:rPr>
          <w:rFonts w:ascii="David" w:hAnsi="David" w:cs="David"/>
          <w:sz w:val="24"/>
          <w:szCs w:val="24"/>
        </w:rPr>
        <w:t>: </w:t>
      </w:r>
      <w:hyperlink r:id="rId8" w:history="1">
        <w:r w:rsidRPr="00A61778">
          <w:rPr>
            <w:rStyle w:val="Hyperlink"/>
            <w:rFonts w:ascii="David" w:hAnsi="David" w:cs="David"/>
            <w:color w:val="auto"/>
            <w:sz w:val="24"/>
            <w:szCs w:val="24"/>
            <w:u w:val="none"/>
            <w:rtl/>
          </w:rPr>
          <w:t>ע"פ 5668/13</w:t>
        </w:r>
      </w:hyperlink>
      <w:r w:rsidRPr="00A61778">
        <w:rPr>
          <w:rFonts w:ascii="David" w:hAnsi="David" w:cs="David"/>
          <w:sz w:val="24"/>
          <w:szCs w:val="24"/>
        </w:rPr>
        <w:t> </w:t>
      </w:r>
      <w:r w:rsidRPr="006F5EB7">
        <w:rPr>
          <w:rFonts w:ascii="David" w:hAnsi="David" w:cs="David"/>
          <w:b/>
          <w:bCs/>
          <w:sz w:val="24"/>
          <w:szCs w:val="24"/>
          <w:rtl/>
        </w:rPr>
        <w:t>ערן מזרחי נ' מדינת ישראל,</w:t>
      </w:r>
      <w:r w:rsidRPr="006F5EB7">
        <w:rPr>
          <w:rFonts w:ascii="David" w:hAnsi="David" w:cs="David"/>
          <w:sz w:val="24"/>
          <w:szCs w:val="24"/>
          <w:rtl/>
        </w:rPr>
        <w:t xml:space="preserve"> פ</w:t>
      </w:r>
      <w:r w:rsidR="00E430BA">
        <w:rPr>
          <w:rFonts w:ascii="David" w:hAnsi="David" w:cs="David" w:hint="cs"/>
          <w:sz w:val="24"/>
          <w:szCs w:val="24"/>
          <w:rtl/>
        </w:rPr>
        <w:t>י</w:t>
      </w:r>
      <w:r w:rsidRPr="006F5EB7">
        <w:rPr>
          <w:rFonts w:ascii="David" w:hAnsi="David" w:cs="David"/>
          <w:sz w:val="24"/>
          <w:szCs w:val="24"/>
          <w:rtl/>
        </w:rPr>
        <w:t xml:space="preserve">סקה 29 בפסק דינו של כב' השופט סולברג </w:t>
      </w:r>
      <w:r w:rsidRPr="006F5EB7">
        <w:rPr>
          <w:rFonts w:ascii="David" w:hAnsi="David" w:cs="David"/>
          <w:sz w:val="24"/>
          <w:szCs w:val="24"/>
        </w:rPr>
        <w:t>(17.3.2016)</w:t>
      </w:r>
      <w:r w:rsidRPr="006F5EB7">
        <w:rPr>
          <w:rFonts w:ascii="David" w:hAnsi="David" w:cs="David"/>
          <w:color w:val="000000"/>
          <w:sz w:val="24"/>
          <w:szCs w:val="24"/>
          <w:rtl/>
        </w:rPr>
        <w:t>).</w:t>
      </w:r>
    </w:p>
    <w:p w:rsidR="00826272" w:rsidRPr="006F5EB7" w:rsidRDefault="00826272" w:rsidP="00B8665E">
      <w:pPr>
        <w:pStyle w:val="ab"/>
        <w:spacing w:line="360" w:lineRule="auto"/>
        <w:jc w:val="both"/>
        <w:rPr>
          <w:rFonts w:ascii="David" w:hAnsi="David" w:cs="David"/>
          <w:color w:val="000000"/>
          <w:sz w:val="24"/>
          <w:szCs w:val="24"/>
          <w:rtl/>
        </w:rPr>
      </w:pPr>
      <w:r w:rsidRPr="006F5EB7">
        <w:rPr>
          <w:rFonts w:ascii="David" w:hAnsi="David" w:cs="David"/>
          <w:sz w:val="24"/>
          <w:szCs w:val="24"/>
          <w:rtl/>
        </w:rPr>
        <w:t xml:space="preserve">במקרה הנדון מדובר בעבירות מין אשר בוצעו על ידי הנאשם כלפי קטינה מסויימת, במהלך פרק זמן קצר יחסית, כחלק מתכנית עבריינית אחת: במהלך תכנית זו יצר הנאשם קשר עם </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 xml:space="preserve">באמצעות יישומונים; ביקש ממנה לתעד ביצוע מעשים מיניים, לרבות החדרת מלפפון לאיבר מינה וגזירת שיער ערוותה, ולשלוח תיעוד זה לעיונו; </w:t>
      </w:r>
      <w:r w:rsidR="00A61778">
        <w:rPr>
          <w:rFonts w:ascii="David" w:hAnsi="David" w:cs="David" w:hint="cs"/>
          <w:sz w:val="24"/>
          <w:szCs w:val="24"/>
          <w:rtl/>
        </w:rPr>
        <w:t xml:space="preserve">הנאשם </w:t>
      </w:r>
      <w:r w:rsidRPr="006F5EB7">
        <w:rPr>
          <w:rFonts w:ascii="David" w:hAnsi="David" w:cs="David"/>
          <w:sz w:val="24"/>
          <w:szCs w:val="24"/>
          <w:rtl/>
        </w:rPr>
        <w:t xml:space="preserve">שמר סרטוני תועבה הכוללים תיעוד זה וכן סרטונים נוספים; </w:t>
      </w:r>
      <w:r w:rsidR="00A61778">
        <w:rPr>
          <w:rFonts w:ascii="David" w:hAnsi="David" w:cs="David" w:hint="cs"/>
          <w:sz w:val="24"/>
          <w:szCs w:val="24"/>
          <w:rtl/>
        </w:rPr>
        <w:t xml:space="preserve">הנאשם </w:t>
      </w:r>
      <w:r w:rsidRPr="006F5EB7">
        <w:rPr>
          <w:rFonts w:ascii="David" w:hAnsi="David" w:cs="David"/>
          <w:sz w:val="24"/>
          <w:szCs w:val="24"/>
          <w:rtl/>
        </w:rPr>
        <w:t xml:space="preserve">נפגש עם </w:t>
      </w:r>
      <w:r w:rsidR="00B8665E">
        <w:rPr>
          <w:rFonts w:ascii="David" w:hAnsi="David" w:cs="David" w:hint="cs"/>
          <w:sz w:val="24"/>
          <w:szCs w:val="24"/>
          <w:rtl/>
        </w:rPr>
        <w:t>הקטינה</w:t>
      </w:r>
      <w:r w:rsidR="0054084D" w:rsidRPr="006F5EB7">
        <w:rPr>
          <w:rFonts w:ascii="David" w:hAnsi="David" w:cs="David"/>
          <w:sz w:val="24"/>
          <w:szCs w:val="24"/>
          <w:rtl/>
        </w:rPr>
        <w:t xml:space="preserve"> </w:t>
      </w:r>
      <w:r w:rsidRPr="006F5EB7">
        <w:rPr>
          <w:rFonts w:ascii="David" w:hAnsi="David" w:cs="David"/>
          <w:sz w:val="24"/>
          <w:szCs w:val="24"/>
          <w:rtl/>
        </w:rPr>
        <w:t xml:space="preserve">וקיים אתה יחסי מין בהסכמה, בהמשך לתכנון שבוצע במהלך הקשר האינטנסיבי ביניהם באמצעות היישומונים. לפיכך, מתקיים קשר הדוק בין המעשים השונים והעבירות אותן ביצע הנאשם, ובהתאם יש לקבוע מתחם ענישה אחד. במסגרת מתחם ענישה זה, על בית המשפט לשקול את המעשים השונים שביצע הנאשם ואת מידת חומרתם, אף אם סווגו כחלק מאירוע אחד (ע"פ 6888/17 </w:t>
      </w:r>
      <w:r w:rsidRPr="006F5EB7">
        <w:rPr>
          <w:rFonts w:ascii="David" w:hAnsi="David" w:cs="David"/>
          <w:b/>
          <w:bCs/>
          <w:sz w:val="24"/>
          <w:szCs w:val="24"/>
          <w:rtl/>
        </w:rPr>
        <w:t>אריה (ריקו) שירזי נ' מדינת ישראל</w:t>
      </w:r>
      <w:r w:rsidRPr="006F5EB7">
        <w:rPr>
          <w:rFonts w:ascii="David" w:hAnsi="David" w:cs="David"/>
          <w:sz w:val="24"/>
          <w:szCs w:val="24"/>
          <w:rtl/>
        </w:rPr>
        <w:t>, פ</w:t>
      </w:r>
      <w:r w:rsidR="00E430BA">
        <w:rPr>
          <w:rFonts w:ascii="David" w:hAnsi="David" w:cs="David" w:hint="cs"/>
          <w:sz w:val="24"/>
          <w:szCs w:val="24"/>
          <w:rtl/>
        </w:rPr>
        <w:t>י</w:t>
      </w:r>
      <w:r w:rsidRPr="006F5EB7">
        <w:rPr>
          <w:rFonts w:ascii="David" w:hAnsi="David" w:cs="David"/>
          <w:sz w:val="24"/>
          <w:szCs w:val="24"/>
          <w:rtl/>
        </w:rPr>
        <w:t xml:space="preserve">סקה 14 (10.12.2018)). </w:t>
      </w:r>
      <w:r w:rsidRPr="006F5EB7">
        <w:rPr>
          <w:rFonts w:ascii="David" w:hAnsi="David" w:cs="David"/>
          <w:color w:val="000000"/>
          <w:sz w:val="24"/>
          <w:szCs w:val="24"/>
          <w:rtl/>
        </w:rPr>
        <w:t>כך, במסגרת קביעת מתחם הענישה יש להתייחס לצירוף העונשים המירביים אותם ניתן להטיל בגין כל אחד מהמקרים:</w:t>
      </w:r>
    </w:p>
    <w:p w:rsidR="00826272" w:rsidRPr="006F5EB7" w:rsidRDefault="00826272" w:rsidP="00826272">
      <w:pPr>
        <w:pStyle w:val="listparagraph"/>
        <w:bidi/>
        <w:spacing w:before="0" w:beforeAutospacing="0" w:after="0" w:afterAutospacing="0"/>
        <w:ind w:left="1361" w:right="1134"/>
        <w:jc w:val="both"/>
        <w:rPr>
          <w:rFonts w:ascii="David" w:hAnsi="David" w:cs="David"/>
          <w:color w:val="000000"/>
          <w:rtl/>
        </w:rPr>
      </w:pPr>
      <w:r w:rsidRPr="006F5EB7">
        <w:rPr>
          <w:rFonts w:ascii="David" w:hAnsi="David" w:cs="David"/>
          <w:color w:val="000000"/>
          <w:rtl/>
        </w:rPr>
        <w:t>"</w:t>
      </w:r>
      <w:r w:rsidRPr="006F5EB7">
        <w:rPr>
          <w:rFonts w:ascii="David" w:hAnsi="David" w:cs="David"/>
          <w:b/>
          <w:bCs/>
          <w:color w:val="000000"/>
          <w:rtl/>
        </w:rPr>
        <w:t>כאשר מדובר ב'אירוע אחד' שכולל 'מספר מעשים' – התקרה העליונה האפשרית למתחם העונש ההולם בגין אותו אירוע מתקבלת מצירוף עונשי המקסימום, שניתן להשית בגין על אחד מהמעשים הנכללים באותו אירוע...</w:t>
      </w:r>
      <w:r w:rsidRPr="006F5EB7">
        <w:rPr>
          <w:rFonts w:ascii="David" w:hAnsi="David" w:cs="David"/>
          <w:color w:val="000000"/>
          <w:rtl/>
        </w:rPr>
        <w:t>"</w:t>
      </w:r>
    </w:p>
    <w:p w:rsidR="00826272" w:rsidRPr="006F5EB7" w:rsidRDefault="00826272" w:rsidP="00826272">
      <w:pPr>
        <w:pStyle w:val="listparagraph"/>
        <w:bidi/>
        <w:spacing w:before="0" w:beforeAutospacing="0" w:after="0" w:afterAutospacing="0"/>
        <w:ind w:left="1361" w:right="1134"/>
        <w:jc w:val="both"/>
        <w:rPr>
          <w:rFonts w:ascii="David" w:hAnsi="David" w:cs="David"/>
          <w:color w:val="000000"/>
          <w:rtl/>
        </w:rPr>
      </w:pPr>
      <w:r w:rsidRPr="006F5EB7">
        <w:rPr>
          <w:rFonts w:ascii="David" w:hAnsi="David" w:cs="David"/>
          <w:color w:val="000000"/>
          <w:rtl/>
        </w:rPr>
        <w:t>(</w:t>
      </w:r>
      <w:hyperlink r:id="rId9" w:history="1">
        <w:r w:rsidRPr="00A61778">
          <w:rPr>
            <w:rStyle w:val="Hyperlink"/>
            <w:rFonts w:ascii="David" w:hAnsi="David" w:cs="David"/>
            <w:color w:val="auto"/>
            <w:u w:val="none"/>
            <w:rtl/>
          </w:rPr>
          <w:t>ע"פ 3164/14</w:t>
        </w:r>
      </w:hyperlink>
      <w:r w:rsidRPr="006F5EB7">
        <w:rPr>
          <w:rFonts w:ascii="David" w:hAnsi="David" w:cs="David"/>
          <w:rtl/>
        </w:rPr>
        <w:t> </w:t>
      </w:r>
      <w:r w:rsidRPr="006F5EB7">
        <w:rPr>
          <w:rFonts w:ascii="David" w:hAnsi="David" w:cs="David"/>
          <w:b/>
          <w:bCs/>
          <w:color w:val="000000"/>
          <w:rtl/>
        </w:rPr>
        <w:t>גיא פן נ' מדינת ישראל</w:t>
      </w:r>
      <w:r w:rsidRPr="006F5EB7">
        <w:rPr>
          <w:rFonts w:ascii="David" w:hAnsi="David" w:cs="David"/>
          <w:color w:val="000000"/>
          <w:rtl/>
        </w:rPr>
        <w:t xml:space="preserve">, פסקאות 140-141 (29.06.2015). ראו עוד את הוראת סעיף 40יג'(ג) לחוק העונשין, לגבי הצורך בשמירה על יחס הולם בין חומרת </w:t>
      </w:r>
      <w:r w:rsidRPr="006F5EB7">
        <w:rPr>
          <w:rFonts w:ascii="David" w:hAnsi="David" w:cs="David"/>
          <w:color w:val="000000"/>
          <w:u w:val="single"/>
          <w:rtl/>
        </w:rPr>
        <w:t>מכלול</w:t>
      </w:r>
      <w:r w:rsidRPr="006F5EB7">
        <w:rPr>
          <w:rFonts w:ascii="David" w:hAnsi="David" w:cs="David"/>
          <w:color w:val="000000"/>
          <w:rtl/>
        </w:rPr>
        <w:t xml:space="preserve"> המעשים ומידת אשמו של הנאשם, לבין סוג העונש ותקופת המאסר, ככל שיוטל).</w:t>
      </w:r>
    </w:p>
    <w:p w:rsidR="00826272" w:rsidRPr="006F5EB7" w:rsidRDefault="00826272" w:rsidP="00826272">
      <w:pPr>
        <w:pStyle w:val="listparagraph"/>
        <w:bidi/>
        <w:spacing w:before="0" w:beforeAutospacing="0" w:after="0" w:afterAutospacing="0"/>
        <w:ind w:left="1361" w:right="1134"/>
        <w:jc w:val="both"/>
        <w:rPr>
          <w:rFonts w:ascii="David" w:hAnsi="David" w:cs="David"/>
          <w:color w:val="000000"/>
          <w:rtl/>
        </w:rPr>
      </w:pPr>
    </w:p>
    <w:p w:rsidR="00826272" w:rsidRPr="006F5EB7" w:rsidRDefault="00826272" w:rsidP="003773EF">
      <w:pPr>
        <w:pStyle w:val="p00"/>
        <w:numPr>
          <w:ilvl w:val="0"/>
          <w:numId w:val="3"/>
        </w:numPr>
        <w:bidi/>
        <w:spacing w:before="72" w:beforeAutospacing="0" w:after="0" w:afterAutospacing="0" w:line="360" w:lineRule="auto"/>
        <w:jc w:val="both"/>
        <w:rPr>
          <w:rFonts w:ascii="David" w:eastAsiaTheme="minorHAnsi" w:hAnsi="David" w:cs="David"/>
          <w:rtl/>
        </w:rPr>
      </w:pPr>
      <w:r w:rsidRPr="006F5EB7">
        <w:rPr>
          <w:rFonts w:ascii="David" w:eastAsiaTheme="minorHAnsi" w:hAnsi="David" w:cs="David"/>
          <w:rtl/>
        </w:rPr>
        <w:t xml:space="preserve">תכלית </w:t>
      </w:r>
      <w:r w:rsidRPr="00660005">
        <w:rPr>
          <w:rFonts w:ascii="David" w:eastAsiaTheme="minorHAnsi" w:hAnsi="David" w:cs="David"/>
          <w:b/>
          <w:bCs/>
          <w:rtl/>
        </w:rPr>
        <w:t>הערכים המוגנים</w:t>
      </w:r>
      <w:r w:rsidRPr="006F5EB7">
        <w:rPr>
          <w:rFonts w:ascii="David" w:eastAsiaTheme="minorHAnsi" w:hAnsi="David" w:cs="David"/>
          <w:rtl/>
        </w:rPr>
        <w:t xml:space="preserve"> העומדים בבסיס עבירות המין, היא הגנה על שלמות הגוף והנפש, שמירה על כבוד האדם, צנעת הפרט, והבטחת בחירתו החופשית של אדם על גופו. במקרה בו מדובר בקטינים מעל לגיל 14 ומתחת לגיל 16, הכיר המחוקק בחוסר בשלות קבוצת גיל זו לגבש שיקול דעת מלא והסכמה אמיתית וחופשית לגבי קיום יחסי מין. לפיכך, על מנת להגן על נפשם הבלתי בוגרת של קטינים המצויים בעיצומו של </w:t>
      </w:r>
      <w:r w:rsidR="00660005">
        <w:rPr>
          <w:rFonts w:ascii="David" w:eastAsiaTheme="minorHAnsi" w:hAnsi="David" w:cs="David" w:hint="cs"/>
          <w:rtl/>
        </w:rPr>
        <w:t>ת</w:t>
      </w:r>
      <w:r w:rsidRPr="006F5EB7">
        <w:rPr>
          <w:rFonts w:ascii="David" w:eastAsiaTheme="minorHAnsi" w:hAnsi="David" w:cs="David"/>
          <w:rtl/>
        </w:rPr>
        <w:t xml:space="preserve">הליך התבגרות, וכן למנוע פגיעה בערכים המוגנים שלעיל, נקבע איסור פלילי על קיום יחסי מין בהסכמה ביחס לקבוצת גיל זו. </w:t>
      </w:r>
      <w:r w:rsidR="00300901">
        <w:rPr>
          <w:rFonts w:ascii="David" w:eastAsiaTheme="minorHAnsi" w:hAnsi="David" w:cs="David" w:hint="cs"/>
          <w:rtl/>
        </w:rPr>
        <w:t>לנוכח</w:t>
      </w:r>
      <w:r w:rsidRPr="006F5EB7">
        <w:rPr>
          <w:rFonts w:ascii="David" w:eastAsiaTheme="minorHAnsi" w:hAnsi="David" w:cs="David"/>
          <w:rtl/>
        </w:rPr>
        <w:t xml:space="preserve"> החשיבות </w:t>
      </w:r>
      <w:r w:rsidR="00300901">
        <w:rPr>
          <w:rFonts w:ascii="David" w:eastAsiaTheme="minorHAnsi" w:hAnsi="David" w:cs="David" w:hint="cs"/>
          <w:rtl/>
        </w:rPr>
        <w:t>ש</w:t>
      </w:r>
      <w:r w:rsidRPr="006F5EB7">
        <w:rPr>
          <w:rFonts w:ascii="David" w:eastAsiaTheme="minorHAnsi" w:hAnsi="David" w:cs="David"/>
          <w:rtl/>
        </w:rPr>
        <w:t>בהגנה על חוליה חלשה זו, ופוטנציאל הפגיעה הקשה בהם, קבע המחוקק את עביר</w:t>
      </w:r>
      <w:r w:rsidR="003773EF">
        <w:rPr>
          <w:rFonts w:ascii="David" w:eastAsiaTheme="minorHAnsi" w:hAnsi="David" w:cs="David" w:hint="cs"/>
          <w:rtl/>
        </w:rPr>
        <w:t>ת</w:t>
      </w:r>
      <w:r w:rsidRPr="006F5EB7">
        <w:rPr>
          <w:rFonts w:ascii="David" w:eastAsiaTheme="minorHAnsi" w:hAnsi="David" w:cs="David"/>
          <w:rtl/>
        </w:rPr>
        <w:t xml:space="preserve"> הבעילה בהסכמה כעבירת פשע שהעונש המירבי לצדה עומד על חמש שנות מאסר.</w:t>
      </w:r>
      <w:r w:rsidRPr="006F5EB7">
        <w:rPr>
          <w:rFonts w:ascii="David" w:eastAsiaTheme="minorHAnsi" w:hAnsi="David" w:cs="David"/>
          <w:rtl/>
        </w:rPr>
        <w:tab/>
      </w:r>
      <w:r w:rsidRPr="006F5EB7">
        <w:rPr>
          <w:rFonts w:ascii="David" w:eastAsiaTheme="minorHAnsi" w:hAnsi="David" w:cs="David"/>
          <w:rtl/>
        </w:rPr>
        <w:tab/>
      </w:r>
    </w:p>
    <w:p w:rsidR="00826272" w:rsidRPr="006F5EB7" w:rsidRDefault="00826272" w:rsidP="00826272">
      <w:pPr>
        <w:pStyle w:val="p00"/>
        <w:bidi/>
        <w:spacing w:before="72" w:beforeAutospacing="0" w:after="0" w:afterAutospacing="0" w:line="360" w:lineRule="auto"/>
        <w:ind w:left="720"/>
        <w:jc w:val="both"/>
        <w:rPr>
          <w:rFonts w:ascii="David" w:hAnsi="David" w:cs="David"/>
          <w:color w:val="000000"/>
        </w:rPr>
      </w:pPr>
      <w:r w:rsidRPr="006F5EB7">
        <w:rPr>
          <w:rFonts w:ascii="David" w:eastAsiaTheme="minorHAnsi" w:hAnsi="David" w:cs="David"/>
          <w:rtl/>
        </w:rPr>
        <w:lastRenderedPageBreak/>
        <w:t>באופן דומה, אף עבירת החזקת חומרי תועבה נועדה להגן על קטינים מפני התעללות מינית הנובעת מכך שמחזיק חומרי התועבה למעשה מעודד את התופעה ותורם לה, גם אם בעקיפין. כך, "</w:t>
      </w:r>
      <w:r w:rsidRPr="006F5EB7">
        <w:rPr>
          <w:rFonts w:ascii="David" w:eastAsiaTheme="minorHAnsi" w:hAnsi="David" w:cs="David"/>
          <w:b/>
          <w:bCs/>
          <w:rtl/>
        </w:rPr>
        <w:t>סיווגה כ'עוון' אינו משנה מן החומרה המיוחסת לעבירה זו</w:t>
      </w:r>
      <w:r w:rsidRPr="006F5EB7">
        <w:rPr>
          <w:rFonts w:ascii="David" w:eastAsiaTheme="minorHAnsi" w:hAnsi="David" w:cs="David"/>
          <w:rtl/>
        </w:rPr>
        <w:t xml:space="preserve">" (רע"פ 3890/09 </w:t>
      </w:r>
      <w:r w:rsidRPr="00660005">
        <w:rPr>
          <w:rFonts w:ascii="David" w:eastAsiaTheme="minorHAnsi" w:hAnsi="David" w:cs="David"/>
          <w:b/>
          <w:bCs/>
          <w:rtl/>
        </w:rPr>
        <w:t>מור נ' מדינת ישראל</w:t>
      </w:r>
      <w:r w:rsidRPr="006F5EB7">
        <w:rPr>
          <w:rFonts w:ascii="David" w:eastAsiaTheme="minorHAnsi" w:hAnsi="David" w:cs="David"/>
          <w:rtl/>
        </w:rPr>
        <w:t>, פ</w:t>
      </w:r>
      <w:r w:rsidR="00E430BA">
        <w:rPr>
          <w:rFonts w:ascii="David" w:eastAsiaTheme="minorHAnsi" w:hAnsi="David" w:cs="David" w:hint="cs"/>
          <w:rtl/>
        </w:rPr>
        <w:t>י</w:t>
      </w:r>
      <w:r w:rsidRPr="006F5EB7">
        <w:rPr>
          <w:rFonts w:ascii="David" w:eastAsiaTheme="minorHAnsi" w:hAnsi="David" w:cs="David"/>
          <w:rtl/>
        </w:rPr>
        <w:t>סקה 3 (18.5.2009</w:t>
      </w:r>
      <w:r w:rsidRPr="006F5EB7">
        <w:rPr>
          <w:rFonts w:ascii="David" w:hAnsi="David" w:cs="David"/>
          <w:color w:val="000000"/>
          <w:rtl/>
        </w:rPr>
        <w:t>)).</w:t>
      </w:r>
    </w:p>
    <w:p w:rsidR="00826272" w:rsidRPr="006F5EB7" w:rsidRDefault="00660005" w:rsidP="00660005">
      <w:pPr>
        <w:pStyle w:val="p00"/>
        <w:bidi/>
        <w:spacing w:before="72" w:beforeAutospacing="0" w:after="0" w:afterAutospacing="0" w:line="360" w:lineRule="auto"/>
        <w:ind w:left="720"/>
        <w:jc w:val="both"/>
        <w:rPr>
          <w:rFonts w:ascii="David" w:hAnsi="David" w:cs="David"/>
          <w:color w:val="000000"/>
          <w:rtl/>
        </w:rPr>
      </w:pPr>
      <w:r>
        <w:rPr>
          <w:rFonts w:ascii="David" w:eastAsiaTheme="minorHAnsi" w:hAnsi="David" w:cs="David" w:hint="cs"/>
          <w:rtl/>
        </w:rPr>
        <w:t xml:space="preserve">לפיכך, </w:t>
      </w:r>
      <w:r w:rsidR="00826272" w:rsidRPr="006F5EB7">
        <w:rPr>
          <w:rFonts w:ascii="David" w:eastAsiaTheme="minorHAnsi" w:hAnsi="David" w:cs="David"/>
          <w:rtl/>
        </w:rPr>
        <w:t>העונש המירבי האפשרי במקרה הנדון מורכב</w:t>
      </w:r>
      <w:r>
        <w:rPr>
          <w:rFonts w:ascii="David" w:eastAsiaTheme="minorHAnsi" w:hAnsi="David" w:cs="David" w:hint="cs"/>
          <w:rtl/>
        </w:rPr>
        <w:t xml:space="preserve"> </w:t>
      </w:r>
      <w:r w:rsidR="00826272" w:rsidRPr="006F5EB7">
        <w:rPr>
          <w:rFonts w:ascii="David" w:eastAsiaTheme="minorHAnsi" w:hAnsi="David" w:cs="David"/>
          <w:rtl/>
        </w:rPr>
        <w:t>מצירוף העונשים המירביים בגין שני מעשים של בעילה אסורה בהסכמה וכן עבירת החזקת חומר תועבה.</w:t>
      </w:r>
    </w:p>
    <w:p w:rsidR="00826272" w:rsidRPr="006F5EB7" w:rsidRDefault="00826272" w:rsidP="00826272">
      <w:pPr>
        <w:pStyle w:val="listparagraph"/>
        <w:bidi/>
        <w:spacing w:before="0" w:beforeAutospacing="0" w:after="0" w:afterAutospacing="0" w:line="360" w:lineRule="auto"/>
        <w:jc w:val="both"/>
        <w:rPr>
          <w:rFonts w:ascii="David" w:hAnsi="David" w:cs="David"/>
          <w:color w:val="000000"/>
          <w:rtl/>
        </w:rPr>
      </w:pPr>
    </w:p>
    <w:p w:rsidR="00826272" w:rsidRPr="006F5EB7" w:rsidRDefault="00826272" w:rsidP="00660005">
      <w:pPr>
        <w:pStyle w:val="listparagraph"/>
        <w:numPr>
          <w:ilvl w:val="0"/>
          <w:numId w:val="3"/>
        </w:numPr>
        <w:bidi/>
        <w:spacing w:before="0" w:beforeAutospacing="0" w:after="0" w:afterAutospacing="0" w:line="360" w:lineRule="auto"/>
        <w:jc w:val="both"/>
        <w:rPr>
          <w:rFonts w:ascii="David" w:hAnsi="David" w:cs="David"/>
          <w:color w:val="000000"/>
          <w:rtl/>
        </w:rPr>
      </w:pPr>
      <w:r w:rsidRPr="00660005">
        <w:rPr>
          <w:rFonts w:ascii="David" w:hAnsi="David" w:cs="David"/>
          <w:b/>
          <w:bCs/>
          <w:color w:val="000000"/>
          <w:rtl/>
        </w:rPr>
        <w:t>נסיבות המקרה</w:t>
      </w:r>
      <w:r w:rsidRPr="006F5EB7">
        <w:rPr>
          <w:rFonts w:ascii="David" w:hAnsi="David" w:cs="David"/>
          <w:color w:val="000000"/>
          <w:rtl/>
        </w:rPr>
        <w:t xml:space="preserve"> הן בעלות משקל רב בעת בחינת עקרון ההלימה המנח</w:t>
      </w:r>
      <w:r w:rsidR="00660005">
        <w:rPr>
          <w:rFonts w:ascii="David" w:hAnsi="David" w:cs="David" w:hint="cs"/>
          <w:color w:val="000000"/>
          <w:rtl/>
        </w:rPr>
        <w:t>ֶ</w:t>
      </w:r>
      <w:r w:rsidRPr="006F5EB7">
        <w:rPr>
          <w:rFonts w:ascii="David" w:hAnsi="David" w:cs="David"/>
          <w:color w:val="000000"/>
          <w:rtl/>
        </w:rPr>
        <w:t>ה, השוקל את חומרת המעשה בנסיבותיו ואת מידת אשמו של הנאשם, ומתחשב במידת הפגיעה בערכים המוגנים כפי שנובע מאותן נסיבות (סעיפים 40ב', 40ג' לחוק העונשין).</w:t>
      </w:r>
    </w:p>
    <w:p w:rsidR="00826272" w:rsidRPr="006F5EB7" w:rsidRDefault="00826272" w:rsidP="009464DD">
      <w:pPr>
        <w:pStyle w:val="listparagraph"/>
        <w:bidi/>
        <w:spacing w:before="0" w:beforeAutospacing="0" w:after="0" w:afterAutospacing="0" w:line="360" w:lineRule="auto"/>
        <w:ind w:left="720"/>
        <w:jc w:val="both"/>
        <w:rPr>
          <w:rFonts w:ascii="David" w:hAnsi="David" w:cs="David"/>
          <w:color w:val="000000"/>
          <w:rtl/>
        </w:rPr>
      </w:pPr>
      <w:r w:rsidRPr="006F5EB7">
        <w:rPr>
          <w:rFonts w:ascii="David" w:hAnsi="David" w:cs="David"/>
          <w:color w:val="000000"/>
          <w:rtl/>
        </w:rPr>
        <w:t xml:space="preserve">במקרה הנדון מתקיימים מספר שיקולים מחמירים הקשורים בנסיבות ביצוע העבירות ומשפיעים על חומרת מעשה העבירה, על קביעת מידת אשמו של הנאשם ועל עומק הפגיעה בערכים המוגנים. כפי שטען ב"כ הנאשם בטיעוניו לעונש, </w:t>
      </w:r>
      <w:r w:rsidR="00660005">
        <w:rPr>
          <w:rFonts w:ascii="David" w:hAnsi="David" w:cs="David" w:hint="cs"/>
          <w:color w:val="000000"/>
          <w:rtl/>
        </w:rPr>
        <w:t xml:space="preserve">אכן </w:t>
      </w:r>
      <w:r w:rsidRPr="006F5EB7">
        <w:rPr>
          <w:rFonts w:ascii="David" w:hAnsi="David" w:cs="David"/>
          <w:color w:val="000000"/>
          <w:rtl/>
        </w:rPr>
        <w:t xml:space="preserve">ניתן להצביע על נסיבות בהן בוצעו עבירות מין חמורות יותר, אולם הדבר </w:t>
      </w:r>
      <w:r w:rsidR="00660005">
        <w:rPr>
          <w:rFonts w:ascii="David" w:hAnsi="David" w:cs="David" w:hint="cs"/>
          <w:color w:val="000000"/>
          <w:rtl/>
        </w:rPr>
        <w:t xml:space="preserve">אינו </w:t>
      </w:r>
      <w:r w:rsidRPr="006F5EB7">
        <w:rPr>
          <w:rFonts w:ascii="David" w:hAnsi="David" w:cs="David"/>
          <w:color w:val="000000"/>
          <w:rtl/>
        </w:rPr>
        <w:t xml:space="preserve">משפיע או מפחית מעוצמת הנסיבות המחמירות במקרה </w:t>
      </w:r>
      <w:r w:rsidR="009464DD">
        <w:rPr>
          <w:rFonts w:ascii="David" w:hAnsi="David" w:cs="David" w:hint="cs"/>
          <w:color w:val="000000"/>
          <w:rtl/>
        </w:rPr>
        <w:t>זה</w:t>
      </w:r>
      <w:r w:rsidRPr="006F5EB7">
        <w:rPr>
          <w:rFonts w:ascii="David" w:hAnsi="David" w:cs="David"/>
          <w:color w:val="000000"/>
          <w:rtl/>
        </w:rPr>
        <w:t xml:space="preserve">: </w:t>
      </w:r>
    </w:p>
    <w:p w:rsidR="00826272" w:rsidRPr="006F5EB7" w:rsidRDefault="00826272" w:rsidP="00B8665E">
      <w:pPr>
        <w:pStyle w:val="listparagraph"/>
        <w:bidi/>
        <w:spacing w:before="0" w:beforeAutospacing="0" w:after="0" w:afterAutospacing="0" w:line="360" w:lineRule="auto"/>
        <w:ind w:left="1440" w:hanging="720"/>
        <w:jc w:val="both"/>
        <w:rPr>
          <w:rFonts w:ascii="David" w:hAnsi="David" w:cs="David"/>
          <w:color w:val="000000"/>
          <w:rtl/>
        </w:rPr>
      </w:pPr>
      <w:r w:rsidRPr="006F5EB7">
        <w:rPr>
          <w:rFonts w:ascii="David" w:hAnsi="David" w:cs="David"/>
          <w:color w:val="000000"/>
          <w:rtl/>
        </w:rPr>
        <w:t>(-)</w:t>
      </w:r>
      <w:r w:rsidRPr="006F5EB7">
        <w:rPr>
          <w:rFonts w:ascii="David" w:hAnsi="David" w:cs="David"/>
          <w:color w:val="000000"/>
          <w:rtl/>
        </w:rPr>
        <w:tab/>
      </w:r>
      <w:r w:rsidRPr="006F5EB7">
        <w:rPr>
          <w:rFonts w:ascii="David" w:hAnsi="David" w:cs="David"/>
          <w:b/>
          <w:bCs/>
          <w:color w:val="000000"/>
          <w:rtl/>
        </w:rPr>
        <w:t>התכנון שקדם לביצוע העבירות</w:t>
      </w:r>
      <w:r w:rsidRPr="006F5EB7">
        <w:rPr>
          <w:rFonts w:ascii="David" w:hAnsi="David" w:cs="David"/>
          <w:color w:val="000000"/>
          <w:rtl/>
        </w:rPr>
        <w:t>. הקשר בין הנאשם ל</w:t>
      </w:r>
      <w:r w:rsidR="00B8665E">
        <w:rPr>
          <w:rFonts w:ascii="David" w:hAnsi="David" w:cs="David" w:hint="cs"/>
          <w:rtl/>
        </w:rPr>
        <w:t>קטינה</w:t>
      </w:r>
      <w:r w:rsidRPr="006F5EB7">
        <w:rPr>
          <w:rFonts w:ascii="David" w:hAnsi="David" w:cs="David"/>
          <w:color w:val="000000"/>
          <w:rtl/>
        </w:rPr>
        <w:t xml:space="preserve"> נוצר ביום 9.8.2017, ונמשך כשלושה חודשים עד לאחר המפגש ביניהם ביום 20.11.2017 (סעיף 34 להכרעת הדין). תיעוד ההתכתבויות הרבות בין הנאשם ל</w:t>
      </w:r>
      <w:r w:rsidR="00B8665E">
        <w:rPr>
          <w:rFonts w:ascii="David" w:hAnsi="David" w:cs="David" w:hint="cs"/>
          <w:rtl/>
        </w:rPr>
        <w:t>קטינה</w:t>
      </w:r>
      <w:r w:rsidRPr="006F5EB7">
        <w:rPr>
          <w:rFonts w:ascii="David" w:hAnsi="David" w:cs="David"/>
          <w:color w:val="000000"/>
          <w:rtl/>
        </w:rPr>
        <w:t xml:space="preserve"> בטרם המפגש היחיד ביניהם (ת/26), מלמד על האופן בו תכנן לבצע את העבירות, דרך קידום הביצוע לאורך זמן ועד להוצאתו </w:t>
      </w:r>
      <w:r w:rsidR="005051E8">
        <w:rPr>
          <w:rFonts w:ascii="David" w:hAnsi="David" w:cs="David" w:hint="cs"/>
          <w:color w:val="000000"/>
          <w:rtl/>
        </w:rPr>
        <w:t>ל</w:t>
      </w:r>
      <w:r w:rsidRPr="006F5EB7">
        <w:rPr>
          <w:rFonts w:ascii="David" w:hAnsi="David" w:cs="David"/>
          <w:color w:val="000000"/>
          <w:rtl/>
        </w:rPr>
        <w:t xml:space="preserve">פועל. עקב בצד אגודל. אפנה למספר דוגמאות מהכרעת הדין המבססות תכנון שהתקדם </w:t>
      </w:r>
      <w:r w:rsidR="005051E8">
        <w:rPr>
          <w:rFonts w:ascii="David" w:hAnsi="David" w:cs="David" w:hint="cs"/>
          <w:color w:val="000000"/>
          <w:rtl/>
        </w:rPr>
        <w:t xml:space="preserve">והתפתח </w:t>
      </w:r>
      <w:r w:rsidRPr="006F5EB7">
        <w:rPr>
          <w:rFonts w:ascii="David" w:hAnsi="David" w:cs="David"/>
          <w:color w:val="000000"/>
          <w:rtl/>
        </w:rPr>
        <w:t xml:space="preserve">לאורך כשלושה חודשים, בשיקול דעת, תוך ניצול חוסר בשלותה של </w:t>
      </w:r>
      <w:r w:rsidR="00B8665E">
        <w:rPr>
          <w:rFonts w:ascii="David" w:hAnsi="David" w:cs="David" w:hint="cs"/>
          <w:rtl/>
        </w:rPr>
        <w:t>הקטינה</w:t>
      </w:r>
      <w:r w:rsidRPr="006F5EB7">
        <w:rPr>
          <w:rFonts w:ascii="David" w:hAnsi="David" w:cs="David"/>
          <w:color w:val="000000"/>
          <w:rtl/>
        </w:rPr>
        <w:t xml:space="preserve">, </w:t>
      </w:r>
      <w:r w:rsidR="009464DD">
        <w:rPr>
          <w:rFonts w:ascii="David" w:hAnsi="David" w:cs="David" w:hint="cs"/>
          <w:color w:val="000000"/>
          <w:rtl/>
        </w:rPr>
        <w:t>תכנון ש</w:t>
      </w:r>
      <w:r w:rsidRPr="006F5EB7">
        <w:rPr>
          <w:rFonts w:ascii="David" w:hAnsi="David" w:cs="David"/>
          <w:color w:val="000000"/>
          <w:rtl/>
        </w:rPr>
        <w:t xml:space="preserve">הביא לכדי ביצוע העבירות במהלך תקופה זו </w:t>
      </w:r>
      <w:r w:rsidR="005051E8">
        <w:rPr>
          <w:rFonts w:ascii="David" w:hAnsi="David" w:cs="David" w:hint="cs"/>
          <w:color w:val="000000"/>
          <w:rtl/>
        </w:rPr>
        <w:t>ו</w:t>
      </w:r>
      <w:r w:rsidRPr="006F5EB7">
        <w:rPr>
          <w:rFonts w:ascii="David" w:hAnsi="David" w:cs="David"/>
          <w:color w:val="000000"/>
          <w:rtl/>
        </w:rPr>
        <w:t xml:space="preserve">עד להבשלתו </w:t>
      </w:r>
      <w:r w:rsidR="009464DD">
        <w:rPr>
          <w:rFonts w:ascii="David" w:hAnsi="David" w:cs="David" w:hint="cs"/>
          <w:color w:val="000000"/>
          <w:rtl/>
        </w:rPr>
        <w:t xml:space="preserve">אף </w:t>
      </w:r>
      <w:r w:rsidRPr="006F5EB7">
        <w:rPr>
          <w:rFonts w:ascii="David" w:hAnsi="David" w:cs="David"/>
          <w:color w:val="000000"/>
          <w:rtl/>
        </w:rPr>
        <w:t xml:space="preserve">לביצוע בעילת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color w:val="000000"/>
          <w:rtl/>
        </w:rPr>
        <w:t>במהלך מפגש פיזי</w:t>
      </w:r>
      <w:r w:rsidR="005051E8">
        <w:rPr>
          <w:rFonts w:ascii="David" w:hAnsi="David" w:cs="David" w:hint="cs"/>
          <w:color w:val="000000"/>
          <w:rtl/>
        </w:rPr>
        <w:t xml:space="preserve"> ביניהם</w:t>
      </w:r>
      <w:r w:rsidRPr="006F5EB7">
        <w:rPr>
          <w:rFonts w:ascii="David" w:hAnsi="David" w:cs="David"/>
          <w:color w:val="000000"/>
          <w:rtl/>
        </w:rPr>
        <w:t xml:space="preserve">:  </w:t>
      </w:r>
      <w:r w:rsidR="0054084D">
        <w:rPr>
          <w:rFonts w:ascii="David" w:hAnsi="David" w:cs="David" w:hint="cs"/>
          <w:color w:val="000000"/>
          <w:rtl/>
        </w:rPr>
        <w:t xml:space="preserve">  </w:t>
      </w:r>
      <w:r w:rsidR="00B8665E">
        <w:rPr>
          <w:rFonts w:ascii="David" w:hAnsi="David" w:cs="David" w:hint="cs"/>
          <w:color w:val="000000"/>
          <w:rtl/>
        </w:rPr>
        <w:t xml:space="preserve"> </w:t>
      </w:r>
    </w:p>
    <w:p w:rsidR="00826272" w:rsidRPr="006F5EB7" w:rsidRDefault="00826272" w:rsidP="00B8665E">
      <w:pPr>
        <w:pStyle w:val="listparagraph"/>
        <w:bidi/>
        <w:spacing w:before="0" w:beforeAutospacing="0" w:after="0" w:afterAutospacing="0" w:line="360" w:lineRule="auto"/>
        <w:ind w:left="2160" w:hanging="720"/>
        <w:jc w:val="both"/>
        <w:rPr>
          <w:rFonts w:ascii="David" w:hAnsi="David" w:cs="David"/>
          <w:rtl/>
        </w:rPr>
      </w:pPr>
      <w:r w:rsidRPr="006F5EB7">
        <w:rPr>
          <w:rFonts w:ascii="David" w:hAnsi="David" w:cs="David"/>
          <w:color w:val="000000"/>
          <w:rtl/>
        </w:rPr>
        <w:t>-</w:t>
      </w:r>
      <w:r w:rsidRPr="006F5EB7">
        <w:rPr>
          <w:rFonts w:ascii="David" w:hAnsi="David" w:cs="David"/>
          <w:color w:val="000000"/>
          <w:rtl/>
        </w:rPr>
        <w:tab/>
        <w:t xml:space="preserve">הנאשם ידע החל מתחילת הקשר כי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color w:val="000000"/>
          <w:rtl/>
        </w:rPr>
        <w:t>בת 15 בלבד, וכ</w:t>
      </w:r>
      <w:r w:rsidR="0054084D">
        <w:rPr>
          <w:rFonts w:ascii="David" w:hAnsi="David" w:cs="David" w:hint="cs"/>
          <w:color w:val="000000"/>
          <w:rtl/>
        </w:rPr>
        <w:t>א</w:t>
      </w:r>
      <w:r w:rsidRPr="006F5EB7">
        <w:rPr>
          <w:rFonts w:ascii="David" w:hAnsi="David" w:cs="David"/>
          <w:color w:val="000000"/>
          <w:rtl/>
        </w:rPr>
        <w:t>ש</w:t>
      </w:r>
      <w:r w:rsidR="0054084D">
        <w:rPr>
          <w:rFonts w:ascii="David" w:hAnsi="David" w:cs="David" w:hint="cs"/>
          <w:color w:val="000000"/>
          <w:rtl/>
        </w:rPr>
        <w:t xml:space="preserve">ר </w:t>
      </w:r>
      <w:r w:rsidR="00B8665E">
        <w:rPr>
          <w:rFonts w:ascii="David" w:hAnsi="David" w:cs="David" w:hint="cs"/>
          <w:rtl/>
        </w:rPr>
        <w:t>הקטינה</w:t>
      </w:r>
      <w:r w:rsidRPr="006F5EB7">
        <w:rPr>
          <w:rFonts w:ascii="David" w:hAnsi="David" w:cs="David"/>
          <w:color w:val="000000"/>
          <w:rtl/>
        </w:rPr>
        <w:t xml:space="preserve"> העלתה ספקות לגבי הקשר א</w:t>
      </w:r>
      <w:r w:rsidR="009464DD">
        <w:rPr>
          <w:rFonts w:ascii="David" w:hAnsi="David" w:cs="David" w:hint="cs"/>
          <w:color w:val="000000"/>
          <w:rtl/>
        </w:rPr>
        <w:t>י</w:t>
      </w:r>
      <w:r w:rsidRPr="006F5EB7">
        <w:rPr>
          <w:rFonts w:ascii="David" w:hAnsi="David" w:cs="David"/>
          <w:color w:val="000000"/>
          <w:rtl/>
        </w:rPr>
        <w:t>תו – פעל לחזקה: כשכתב ל</w:t>
      </w:r>
      <w:r w:rsidR="00B8665E">
        <w:rPr>
          <w:rFonts w:ascii="David" w:hAnsi="David" w:cs="David" w:hint="cs"/>
          <w:rtl/>
        </w:rPr>
        <w:t>קטינה</w:t>
      </w:r>
      <w:r w:rsidRPr="006F5EB7">
        <w:rPr>
          <w:rFonts w:ascii="David" w:hAnsi="David" w:cs="David"/>
          <w:color w:val="000000"/>
          <w:rtl/>
        </w:rPr>
        <w:t xml:space="preserve"> בשלב מוקדם ביותר של הקשר "</w:t>
      </w:r>
      <w:r w:rsidRPr="006F5EB7">
        <w:rPr>
          <w:rFonts w:ascii="David" w:hAnsi="David" w:cs="David"/>
          <w:b/>
          <w:bCs/>
          <w:color w:val="000000"/>
          <w:rtl/>
        </w:rPr>
        <w:t>אוהב אותך קטנטונת</w:t>
      </w:r>
      <w:r w:rsidRPr="006F5EB7">
        <w:rPr>
          <w:rFonts w:ascii="David" w:hAnsi="David" w:cs="David"/>
          <w:color w:val="000000"/>
          <w:rtl/>
        </w:rPr>
        <w:t xml:space="preserve">" השיבה לו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color w:val="000000"/>
          <w:rtl/>
        </w:rPr>
        <w:t>"</w:t>
      </w:r>
      <w:r w:rsidRPr="006F5EB7">
        <w:rPr>
          <w:rFonts w:ascii="David" w:hAnsi="David" w:cs="David"/>
          <w:b/>
          <w:bCs/>
          <w:color w:val="000000"/>
          <w:rtl/>
        </w:rPr>
        <w:t>אני כולה בת 15</w:t>
      </w:r>
      <w:r w:rsidRPr="006F5EB7">
        <w:rPr>
          <w:rFonts w:ascii="David" w:hAnsi="David" w:cs="David"/>
          <w:color w:val="000000"/>
          <w:rtl/>
        </w:rPr>
        <w:t>", ובתגובה ענה הנאשם "</w:t>
      </w:r>
      <w:r w:rsidRPr="006F5EB7">
        <w:rPr>
          <w:rFonts w:ascii="David" w:hAnsi="David" w:cs="David"/>
          <w:b/>
          <w:bCs/>
          <w:color w:val="000000"/>
          <w:rtl/>
        </w:rPr>
        <w:t>את קטנטונת שלי</w:t>
      </w:r>
      <w:r w:rsidR="009464DD">
        <w:rPr>
          <w:rFonts w:ascii="David" w:hAnsi="David" w:cs="David"/>
          <w:color w:val="000000"/>
          <w:rtl/>
        </w:rPr>
        <w:t>" (סעיף 34 להכרעת הדין)</w:t>
      </w:r>
      <w:r w:rsidR="009464DD">
        <w:rPr>
          <w:rFonts w:ascii="David" w:hAnsi="David" w:cs="David" w:hint="cs"/>
          <w:color w:val="000000"/>
          <w:rtl/>
        </w:rPr>
        <w:t>;</w:t>
      </w:r>
      <w:r w:rsidRPr="006F5EB7">
        <w:rPr>
          <w:rFonts w:ascii="David" w:hAnsi="David" w:cs="David"/>
          <w:color w:val="000000"/>
          <w:rtl/>
        </w:rPr>
        <w:t xml:space="preserve"> בהמשך ההתכתבויות ביניהם הנאשם אף כינה את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color w:val="000000"/>
          <w:rtl/>
        </w:rPr>
        <w:t>"</w:t>
      </w:r>
      <w:r w:rsidRPr="0054084D">
        <w:rPr>
          <w:rFonts w:ascii="David" w:hAnsi="David" w:cs="David"/>
          <w:b/>
          <w:bCs/>
          <w:color w:val="000000"/>
          <w:rtl/>
        </w:rPr>
        <w:t>אשתי</w:t>
      </w:r>
      <w:r w:rsidRPr="006F5EB7">
        <w:rPr>
          <w:rFonts w:ascii="David" w:hAnsi="David" w:cs="David"/>
          <w:color w:val="000000"/>
          <w:rtl/>
        </w:rPr>
        <w:t xml:space="preserve">"; </w:t>
      </w:r>
      <w:r w:rsidRPr="006F5EB7">
        <w:rPr>
          <w:rFonts w:ascii="David" w:hAnsi="David" w:cs="David"/>
          <w:rtl/>
        </w:rPr>
        <w:t xml:space="preserve">בהתכתבות מאוחרת יותר, כעשרה ימים לאחר תחילת ההתכתבויות ביניהם, ביקשה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rtl/>
        </w:rPr>
        <w:t>לנתק את הקשר עם הנאשם והודיעה לו כי הקשר ביניהם "</w:t>
      </w:r>
      <w:r w:rsidRPr="00DD22F8">
        <w:rPr>
          <w:rFonts w:ascii="David" w:hAnsi="David" w:cs="David"/>
          <w:b/>
          <w:bCs/>
          <w:rtl/>
        </w:rPr>
        <w:t>לא ילך</w:t>
      </w:r>
      <w:r w:rsidRPr="006F5EB7">
        <w:rPr>
          <w:rFonts w:ascii="David" w:hAnsi="David" w:cs="David"/>
          <w:rtl/>
        </w:rPr>
        <w:t xml:space="preserve">" וכי היא מאד מצטערת. </w:t>
      </w:r>
      <w:r w:rsidR="009464DD">
        <w:rPr>
          <w:rFonts w:ascii="David" w:hAnsi="David" w:cs="David" w:hint="cs"/>
          <w:rtl/>
        </w:rPr>
        <w:t xml:space="preserve">על אף דברים אלה, </w:t>
      </w:r>
      <w:r w:rsidRPr="006F5EB7">
        <w:rPr>
          <w:rFonts w:ascii="David" w:hAnsi="David" w:cs="David"/>
          <w:rtl/>
        </w:rPr>
        <w:t xml:space="preserve">הנאשם המשיך בטיפוח </w:t>
      </w:r>
      <w:r w:rsidR="009464DD">
        <w:rPr>
          <w:rFonts w:ascii="David" w:hAnsi="David" w:cs="David" w:hint="cs"/>
          <w:rtl/>
        </w:rPr>
        <w:t>הקשר וב</w:t>
      </w:r>
      <w:r w:rsidRPr="006F5EB7">
        <w:rPr>
          <w:rFonts w:ascii="David" w:hAnsi="David" w:cs="David"/>
          <w:rtl/>
        </w:rPr>
        <w:t>תכנון ביצוע העבירות</w:t>
      </w:r>
      <w:r w:rsidR="009464DD">
        <w:rPr>
          <w:rFonts w:ascii="David" w:hAnsi="David" w:cs="David" w:hint="cs"/>
          <w:rtl/>
        </w:rPr>
        <w:t>,</w:t>
      </w:r>
      <w:r w:rsidRPr="006F5EB7">
        <w:rPr>
          <w:rFonts w:ascii="David" w:hAnsi="David" w:cs="David"/>
          <w:rtl/>
        </w:rPr>
        <w:t xml:space="preserve"> והשיב לה באופן אמוציונלי לכאורה כי לבו נשבר, ביקש כי לא תוותר ו</w:t>
      </w:r>
      <w:r w:rsidR="009464DD">
        <w:rPr>
          <w:rFonts w:ascii="David" w:hAnsi="David" w:cs="David" w:hint="cs"/>
          <w:rtl/>
        </w:rPr>
        <w:t xml:space="preserve">כי </w:t>
      </w:r>
      <w:r w:rsidRPr="006F5EB7">
        <w:rPr>
          <w:rFonts w:ascii="David" w:hAnsi="David" w:cs="David"/>
          <w:rtl/>
        </w:rPr>
        <w:t>תילחם על קשר זה (סעיף 34 להכרעת הדין).</w:t>
      </w:r>
    </w:p>
    <w:p w:rsidR="00826272" w:rsidRPr="006F5EB7" w:rsidRDefault="00826272" w:rsidP="00B8665E">
      <w:pPr>
        <w:pStyle w:val="listparagraph"/>
        <w:bidi/>
        <w:spacing w:before="0" w:beforeAutospacing="0" w:after="0" w:afterAutospacing="0" w:line="360" w:lineRule="auto"/>
        <w:ind w:left="2160" w:hanging="720"/>
        <w:jc w:val="both"/>
        <w:rPr>
          <w:rFonts w:ascii="David" w:hAnsi="David" w:cs="David"/>
          <w:rtl/>
        </w:rPr>
      </w:pPr>
      <w:r w:rsidRPr="006F5EB7">
        <w:rPr>
          <w:rFonts w:ascii="David" w:hAnsi="David" w:cs="David"/>
          <w:rtl/>
        </w:rPr>
        <w:t>-</w:t>
      </w:r>
      <w:r w:rsidRPr="006F5EB7">
        <w:rPr>
          <w:rFonts w:ascii="David" w:hAnsi="David" w:cs="David"/>
          <w:rtl/>
        </w:rPr>
        <w:tab/>
        <w:t>הנאשם ביקש מ</w:t>
      </w:r>
      <w:r w:rsidR="00B8665E">
        <w:rPr>
          <w:rFonts w:ascii="David" w:hAnsi="David" w:cs="David" w:hint="cs"/>
          <w:rtl/>
        </w:rPr>
        <w:t>הקטינה</w:t>
      </w:r>
      <w:r w:rsidRPr="006F5EB7">
        <w:rPr>
          <w:rFonts w:ascii="David" w:hAnsi="David" w:cs="David"/>
          <w:rtl/>
        </w:rPr>
        <w:t xml:space="preserve"> לשלוח אליו צילומים וסרטונים מיניים, לרבות של איבר מינה ובהמשך, לבקשותיו, אף קיבל זאת ממנה (סעיף 36 להכרעת הדין).</w:t>
      </w:r>
    </w:p>
    <w:p w:rsidR="00826272" w:rsidRPr="006F5EB7" w:rsidRDefault="00826272" w:rsidP="00B8665E">
      <w:pPr>
        <w:pStyle w:val="listparagraph"/>
        <w:bidi/>
        <w:spacing w:before="0" w:beforeAutospacing="0" w:after="0" w:afterAutospacing="0" w:line="360" w:lineRule="auto"/>
        <w:ind w:left="2160" w:hanging="720"/>
        <w:jc w:val="both"/>
        <w:rPr>
          <w:rFonts w:ascii="David" w:hAnsi="David" w:cs="David"/>
          <w:rtl/>
        </w:rPr>
      </w:pPr>
      <w:r w:rsidRPr="006F5EB7">
        <w:rPr>
          <w:rFonts w:ascii="David" w:hAnsi="David" w:cs="David"/>
          <w:rtl/>
        </w:rPr>
        <w:lastRenderedPageBreak/>
        <w:t>-</w:t>
      </w:r>
      <w:r w:rsidRPr="006F5EB7">
        <w:rPr>
          <w:rFonts w:ascii="David" w:hAnsi="David" w:cs="David"/>
          <w:rtl/>
        </w:rPr>
        <w:tab/>
        <w:t xml:space="preserve">הנאשם תכנן וקידם את רצונו לראות כיצד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rtl/>
        </w:rPr>
        <w:t xml:space="preserve">גוזרת את </w:t>
      </w:r>
      <w:r w:rsidR="0054084D">
        <w:rPr>
          <w:rFonts w:ascii="David" w:hAnsi="David" w:cs="David"/>
          <w:rtl/>
        </w:rPr>
        <w:t xml:space="preserve">שיער ערוותה: תחילה התעניין האם </w:t>
      </w:r>
      <w:r w:rsidR="00B8665E">
        <w:rPr>
          <w:rFonts w:ascii="David" w:hAnsi="David" w:cs="David" w:hint="cs"/>
          <w:rtl/>
        </w:rPr>
        <w:t>הקטינה</w:t>
      </w:r>
      <w:r w:rsidRPr="006F5EB7">
        <w:rPr>
          <w:rFonts w:ascii="David" w:hAnsi="David" w:cs="David"/>
          <w:rtl/>
        </w:rPr>
        <w:t xml:space="preserve"> מורידה את שיער הערווה; בהמשך יעץ לה כיצד לעשות כן, בירר האם עשתה זאת, והזכיר לה </w:t>
      </w:r>
      <w:r w:rsidR="004F2D73">
        <w:rPr>
          <w:rFonts w:ascii="David" w:hAnsi="David" w:cs="David" w:hint="cs"/>
          <w:rtl/>
        </w:rPr>
        <w:t xml:space="preserve">שוב ושוב </w:t>
      </w:r>
      <w:r w:rsidRPr="006F5EB7">
        <w:rPr>
          <w:rFonts w:ascii="David" w:hAnsi="David" w:cs="David"/>
          <w:rtl/>
        </w:rPr>
        <w:t xml:space="preserve">כי עליה לעשות כן; לבסוף ביקש </w:t>
      </w:r>
      <w:r w:rsidR="004F2D73">
        <w:rPr>
          <w:rFonts w:ascii="David" w:hAnsi="David" w:cs="David" w:hint="cs"/>
          <w:rtl/>
        </w:rPr>
        <w:t xml:space="preserve">הנאשם מספר פעמים, </w:t>
      </w:r>
      <w:r w:rsidRPr="006F5EB7">
        <w:rPr>
          <w:rFonts w:ascii="David" w:hAnsi="David" w:cs="David"/>
          <w:rtl/>
        </w:rPr>
        <w:t>ואף הביע תחנונים</w:t>
      </w:r>
      <w:r w:rsidR="004F2D73">
        <w:rPr>
          <w:rFonts w:ascii="David" w:hAnsi="David" w:cs="David" w:hint="cs"/>
          <w:rtl/>
        </w:rPr>
        <w:t>,</w:t>
      </w:r>
      <w:r w:rsidRPr="006F5EB7">
        <w:rPr>
          <w:rFonts w:ascii="David" w:hAnsi="David" w:cs="David"/>
          <w:rtl/>
        </w:rPr>
        <w:t xml:space="preserve"> כי תסריט פעולה זו ותשלח אליו </w:t>
      </w:r>
      <w:r w:rsidR="004F2D73" w:rsidRPr="006F5EB7">
        <w:rPr>
          <w:rFonts w:ascii="David" w:hAnsi="David" w:cs="David"/>
          <w:rtl/>
        </w:rPr>
        <w:t xml:space="preserve">את התיעוד </w:t>
      </w:r>
      <w:r w:rsidRPr="006F5EB7">
        <w:rPr>
          <w:rFonts w:ascii="David" w:hAnsi="David" w:cs="David"/>
          <w:rtl/>
        </w:rPr>
        <w:t xml:space="preserve">(סעיף 37 להכרעת הדין). </w:t>
      </w:r>
    </w:p>
    <w:p w:rsidR="00826272" w:rsidRPr="006F5EB7" w:rsidRDefault="00826272" w:rsidP="00B8665E">
      <w:pPr>
        <w:pStyle w:val="listparagraph"/>
        <w:bidi/>
        <w:spacing w:before="0" w:beforeAutospacing="0" w:after="0" w:afterAutospacing="0" w:line="360" w:lineRule="auto"/>
        <w:ind w:left="2160" w:hanging="720"/>
        <w:jc w:val="both"/>
        <w:rPr>
          <w:rFonts w:ascii="David" w:hAnsi="David" w:cs="David"/>
          <w:rtl/>
        </w:rPr>
      </w:pPr>
      <w:r w:rsidRPr="006F5EB7">
        <w:rPr>
          <w:rFonts w:ascii="David" w:hAnsi="David" w:cs="David"/>
          <w:rtl/>
        </w:rPr>
        <w:t>-</w:t>
      </w:r>
      <w:r w:rsidRPr="006F5EB7">
        <w:rPr>
          <w:rFonts w:ascii="David" w:hAnsi="David" w:cs="David"/>
          <w:rtl/>
        </w:rPr>
        <w:tab/>
        <w:t xml:space="preserve">לאחר שהצליח לשמור על קשר ההתכתבויות עם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rtl/>
        </w:rPr>
        <w:t xml:space="preserve">וקבלת תיעוד מיני ממנה, לרבות החדרת מלפפון לאיבר מינה לבקשתו (סעיף 38 להכרעת </w:t>
      </w:r>
      <w:r w:rsidR="0054084D">
        <w:rPr>
          <w:rFonts w:ascii="David" w:hAnsi="David" w:cs="David"/>
          <w:rtl/>
        </w:rPr>
        <w:t xml:space="preserve">הדין), תכנן הנאשם לבעול את </w:t>
      </w:r>
      <w:r w:rsidR="00B8665E">
        <w:rPr>
          <w:rFonts w:ascii="David" w:hAnsi="David" w:cs="David" w:hint="cs"/>
          <w:rtl/>
        </w:rPr>
        <w:t>הקטינה</w:t>
      </w:r>
      <w:r w:rsidRPr="006F5EB7">
        <w:rPr>
          <w:rFonts w:ascii="David" w:hAnsi="David" w:cs="David"/>
          <w:rtl/>
        </w:rPr>
        <w:t xml:space="preserve">. לשם כך, פנה אליה בבקשה להיפגש </w:t>
      </w:r>
      <w:r w:rsidR="004F2D73">
        <w:rPr>
          <w:rFonts w:ascii="David" w:hAnsi="David" w:cs="David" w:hint="cs"/>
          <w:rtl/>
        </w:rPr>
        <w:t xml:space="preserve">איתו </w:t>
      </w:r>
      <w:r w:rsidRPr="006F5EB7">
        <w:rPr>
          <w:rFonts w:ascii="David" w:hAnsi="David" w:cs="David"/>
          <w:rtl/>
        </w:rPr>
        <w:t xml:space="preserve">ותכנן בקפידה כיצד יפגשו ויקיימו יחסי מין (סעיף 39 להכרעת הדין).  </w:t>
      </w:r>
    </w:p>
    <w:p w:rsidR="00826272" w:rsidRPr="006F5EB7" w:rsidRDefault="00826272" w:rsidP="00DD22F8">
      <w:pPr>
        <w:pStyle w:val="listparagraph"/>
        <w:bidi/>
        <w:spacing w:before="0" w:beforeAutospacing="0" w:after="0" w:afterAutospacing="0" w:line="360" w:lineRule="auto"/>
        <w:ind w:left="1440" w:hanging="720"/>
        <w:jc w:val="both"/>
        <w:rPr>
          <w:rFonts w:ascii="David" w:hAnsi="David" w:cs="David"/>
          <w:color w:val="000000"/>
        </w:rPr>
      </w:pPr>
      <w:r w:rsidRPr="006F5EB7">
        <w:rPr>
          <w:rFonts w:ascii="David" w:hAnsi="David" w:cs="David"/>
          <w:color w:val="000000"/>
          <w:rtl/>
        </w:rPr>
        <w:tab/>
        <w:t xml:space="preserve">לאור ראיות אלה, שפורטו בהרחבה בהכרעת הדין, ניתן בהחלט ללמוד על תכנון קפדני </w:t>
      </w:r>
      <w:r w:rsidR="004F2D73">
        <w:rPr>
          <w:rFonts w:ascii="David" w:hAnsi="David" w:cs="David" w:hint="cs"/>
          <w:color w:val="000000"/>
          <w:rtl/>
        </w:rPr>
        <w:t xml:space="preserve">ומתמשך </w:t>
      </w:r>
      <w:r w:rsidRPr="006F5EB7">
        <w:rPr>
          <w:rFonts w:ascii="David" w:hAnsi="David" w:cs="David"/>
          <w:color w:val="000000"/>
          <w:rtl/>
        </w:rPr>
        <w:t>שקדם לביצוע העבירות, בדרך של בני</w:t>
      </w:r>
      <w:r w:rsidR="004F2D73">
        <w:rPr>
          <w:rFonts w:ascii="David" w:hAnsi="David" w:cs="David" w:hint="cs"/>
          <w:color w:val="000000"/>
          <w:rtl/>
        </w:rPr>
        <w:t>י</w:t>
      </w:r>
      <w:r w:rsidRPr="006F5EB7">
        <w:rPr>
          <w:rFonts w:ascii="David" w:hAnsi="David" w:cs="David"/>
          <w:color w:val="000000"/>
          <w:rtl/>
        </w:rPr>
        <w:t xml:space="preserve">ת אמון, חיבה וטיפוח הקשר, תוך התקדמות הדרגתית בביצוע העבירות. </w:t>
      </w:r>
    </w:p>
    <w:p w:rsidR="00826272" w:rsidRPr="006F5EB7" w:rsidRDefault="00826272" w:rsidP="004F2D73">
      <w:pPr>
        <w:pStyle w:val="listparagraph"/>
        <w:bidi/>
        <w:spacing w:before="0" w:beforeAutospacing="0" w:after="0" w:afterAutospacing="0" w:line="360" w:lineRule="auto"/>
        <w:ind w:left="1440"/>
        <w:jc w:val="both"/>
        <w:rPr>
          <w:rFonts w:ascii="David" w:hAnsi="David" w:cs="David"/>
          <w:color w:val="000000"/>
          <w:rtl/>
        </w:rPr>
      </w:pPr>
      <w:r w:rsidRPr="006F5EB7">
        <w:rPr>
          <w:rFonts w:ascii="David" w:hAnsi="David" w:cs="David"/>
          <w:color w:val="000000"/>
          <w:rtl/>
        </w:rPr>
        <w:t xml:space="preserve">בנוסף, יש להתחשב בפרק הזמן הממושך במהלכו ביצע הנאשם את העבירות, משך כשלושה חודשים במהלכם לא עצר </w:t>
      </w:r>
      <w:r w:rsidR="004F2D73">
        <w:rPr>
          <w:rFonts w:ascii="David" w:hAnsi="David" w:cs="David" w:hint="cs"/>
          <w:color w:val="000000"/>
          <w:rtl/>
        </w:rPr>
        <w:t xml:space="preserve">לשקול את מעשיו </w:t>
      </w:r>
      <w:r w:rsidRPr="006F5EB7">
        <w:rPr>
          <w:rFonts w:ascii="David" w:hAnsi="David" w:cs="David"/>
          <w:color w:val="000000"/>
          <w:rtl/>
        </w:rPr>
        <w:t>ולא חדל מהוצאת תכניתו העבריינית אל הפועל.</w:t>
      </w:r>
    </w:p>
    <w:p w:rsidR="00826272" w:rsidRPr="006F5EB7" w:rsidRDefault="00826272" w:rsidP="00826272">
      <w:pPr>
        <w:pStyle w:val="listparagraph"/>
        <w:bidi/>
        <w:spacing w:before="0" w:beforeAutospacing="0" w:after="0" w:afterAutospacing="0" w:line="360" w:lineRule="auto"/>
        <w:ind w:left="1440" w:hanging="720"/>
        <w:jc w:val="both"/>
        <w:rPr>
          <w:rFonts w:ascii="David" w:hAnsi="David" w:cs="David"/>
          <w:color w:val="000000"/>
          <w:rtl/>
        </w:rPr>
      </w:pPr>
      <w:r w:rsidRPr="006F5EB7">
        <w:rPr>
          <w:rFonts w:ascii="David" w:hAnsi="David" w:cs="David"/>
          <w:color w:val="000000"/>
          <w:rtl/>
        </w:rPr>
        <w:t>(-)</w:t>
      </w:r>
      <w:r w:rsidRPr="006F5EB7">
        <w:rPr>
          <w:rFonts w:ascii="David" w:hAnsi="David" w:cs="David"/>
          <w:color w:val="000000"/>
          <w:rtl/>
        </w:rPr>
        <w:tab/>
      </w:r>
      <w:r w:rsidRPr="006F5EB7">
        <w:rPr>
          <w:rFonts w:ascii="David" w:hAnsi="David" w:cs="David"/>
          <w:b/>
          <w:bCs/>
          <w:color w:val="000000"/>
          <w:rtl/>
        </w:rPr>
        <w:t>אופן ביצוע העבירות</w:t>
      </w:r>
      <w:r w:rsidRPr="006F5EB7">
        <w:rPr>
          <w:rFonts w:ascii="David" w:hAnsi="David" w:cs="David"/>
          <w:color w:val="000000"/>
          <w:rtl/>
        </w:rPr>
        <w:t>. המקרה הנדון חושף את הצד האפל של המרשתת, המספק נגישות ואנונימיות באמצעותן מתאפשרת פגיעה קשה בחוליות החלשות של החברה. כב' השופט עמית תיאר תופעה זו בצורה חדה וברורה:</w:t>
      </w:r>
    </w:p>
    <w:p w:rsidR="00826272" w:rsidRPr="006F5EB7" w:rsidRDefault="00826272" w:rsidP="00826272">
      <w:pPr>
        <w:pStyle w:val="ruller40"/>
        <w:bidi/>
        <w:spacing w:before="0" w:beforeAutospacing="0" w:after="0" w:afterAutospacing="0"/>
        <w:ind w:left="1928" w:right="1134"/>
        <w:jc w:val="both"/>
        <w:rPr>
          <w:rFonts w:ascii="David" w:hAnsi="David" w:cs="David"/>
          <w:color w:val="000000"/>
          <w:rtl/>
        </w:rPr>
      </w:pPr>
      <w:r w:rsidRPr="006F5EB7">
        <w:rPr>
          <w:rFonts w:ascii="David" w:hAnsi="David" w:cs="David"/>
          <w:color w:val="000000"/>
          <w:rtl/>
        </w:rPr>
        <w:t>"</w:t>
      </w:r>
      <w:r w:rsidRPr="006F5EB7">
        <w:rPr>
          <w:rFonts w:ascii="David" w:hAnsi="David" w:cs="David"/>
          <w:b/>
          <w:bCs/>
          <w:color w:val="000000"/>
          <w:rtl/>
        </w:rPr>
        <w:t>המסוכנות של פעם שינתה את פניה ולפנינו מסוכנות מסוג חדש. האינטרנט אינו מרחב וירטואלי-סטרילי כלל וכלל. האינטרנט חודר לחיים האמיתיים, ומציב סכנות של ממש בתחומים ובדרכים לא שיערו ראשונים. מעשים מגונים של פעם, שהיו כרוכים במגע פיזי עם נפגע העבירה, נתחלפו להם בסוגים שונים של מעשים בשלט-רחוק. החסות של האנונימיות הלכאורית והריחוק מהיושב בצדו השני של המחשב, משחררים חסמים ועכבות, ואנשים נורמטיביים כלפי חוץ, שולחים ידם במעשים שלא היו מעיזים לעשות בעולם שמחוץ למרחב האינטרנטי... כפה אדומה כבר אינה מסתובבת ביער שורץ זאבים, היא משוטטת במרחב האינטרנטי, שם אורבים לה ציידים וטורפים מסוג אחר. בעבר, יכול היה ההורה לשמור על ילדו שלא יסתובב במקומות מסוכנים או בשעות מסוכנות. לא כך ההורה של היום, המתקשה להגן על ילדיו מהסיבה הפשוטה שהסכנה אורבת לקטין בחדרו-שלו, מאחורי הדלת הסגורה. אלו הסכנות החדשות, והמשפט צריך אפוא להתאים עצמו להתמודד עם תת-התרבות העבריינית של הרשת.</w:t>
      </w:r>
      <w:r w:rsidRPr="006F5EB7">
        <w:rPr>
          <w:rFonts w:ascii="David" w:hAnsi="David" w:cs="David"/>
          <w:color w:val="000000"/>
          <w:rtl/>
        </w:rPr>
        <w:t xml:space="preserve">" </w:t>
      </w:r>
    </w:p>
    <w:p w:rsidR="00826272" w:rsidRPr="006F5EB7" w:rsidRDefault="00826272" w:rsidP="00E430BA">
      <w:pPr>
        <w:pStyle w:val="ruller40"/>
        <w:bidi/>
        <w:spacing w:before="0" w:beforeAutospacing="0" w:after="0" w:afterAutospacing="0"/>
        <w:ind w:left="1928" w:right="1134"/>
        <w:jc w:val="both"/>
        <w:rPr>
          <w:rFonts w:ascii="David" w:hAnsi="David" w:cs="David"/>
          <w:color w:val="000000"/>
          <w:rtl/>
        </w:rPr>
      </w:pPr>
      <w:r w:rsidRPr="006F5EB7">
        <w:rPr>
          <w:rFonts w:ascii="David" w:hAnsi="David" w:cs="David"/>
          <w:color w:val="000000"/>
          <w:rtl/>
        </w:rPr>
        <w:t xml:space="preserve">(בש"פ 2065/13 </w:t>
      </w:r>
      <w:r w:rsidRPr="006F5EB7">
        <w:rPr>
          <w:rFonts w:ascii="David" w:hAnsi="David" w:cs="David"/>
          <w:b/>
          <w:bCs/>
          <w:color w:val="000000"/>
          <w:rtl/>
        </w:rPr>
        <w:t>פלוני נ' מדינת ישראל</w:t>
      </w:r>
      <w:r w:rsidR="00E430BA" w:rsidRPr="00E430BA">
        <w:rPr>
          <w:rFonts w:ascii="David" w:hAnsi="David" w:cs="David" w:hint="cs"/>
          <w:color w:val="000000"/>
          <w:rtl/>
        </w:rPr>
        <w:t>,</w:t>
      </w:r>
      <w:r w:rsidR="00E430BA">
        <w:rPr>
          <w:rFonts w:ascii="David" w:hAnsi="David" w:cs="David" w:hint="cs"/>
          <w:color w:val="000000"/>
          <w:rtl/>
        </w:rPr>
        <w:t xml:space="preserve"> </w:t>
      </w:r>
      <w:r w:rsidRPr="006F5EB7">
        <w:rPr>
          <w:rFonts w:ascii="David" w:hAnsi="David" w:cs="David"/>
          <w:color w:val="000000"/>
          <w:rtl/>
        </w:rPr>
        <w:t>פ</w:t>
      </w:r>
      <w:r w:rsidR="00E430BA">
        <w:rPr>
          <w:rFonts w:ascii="David" w:hAnsi="David" w:cs="David" w:hint="cs"/>
          <w:color w:val="000000"/>
          <w:rtl/>
        </w:rPr>
        <w:t>י</w:t>
      </w:r>
      <w:r w:rsidRPr="006F5EB7">
        <w:rPr>
          <w:rFonts w:ascii="David" w:hAnsi="David" w:cs="David"/>
          <w:color w:val="000000"/>
          <w:rtl/>
        </w:rPr>
        <w:t>סקה 4 (22.3.2013)</w:t>
      </w:r>
      <w:r w:rsidR="00E430BA">
        <w:rPr>
          <w:rFonts w:ascii="David" w:hAnsi="David" w:cs="David" w:hint="cs"/>
          <w:color w:val="000000"/>
          <w:rtl/>
        </w:rPr>
        <w:t xml:space="preserve"> (להלן: "ענ</w:t>
      </w:r>
      <w:r w:rsidR="006806CE">
        <w:rPr>
          <w:rFonts w:ascii="David" w:hAnsi="David" w:cs="David" w:hint="cs"/>
          <w:color w:val="000000"/>
          <w:rtl/>
        </w:rPr>
        <w:t>י</w:t>
      </w:r>
      <w:r w:rsidR="00E430BA">
        <w:rPr>
          <w:rFonts w:ascii="David" w:hAnsi="David" w:cs="David" w:hint="cs"/>
          <w:color w:val="000000"/>
          <w:rtl/>
        </w:rPr>
        <w:t xml:space="preserve">ין </w:t>
      </w:r>
      <w:r w:rsidR="00E430BA">
        <w:rPr>
          <w:rFonts w:ascii="David" w:hAnsi="David" w:cs="David" w:hint="cs"/>
          <w:b/>
          <w:bCs/>
          <w:color w:val="000000"/>
          <w:rtl/>
        </w:rPr>
        <w:t>בש"פ פלוני</w:t>
      </w:r>
      <w:r w:rsidR="00E430BA">
        <w:rPr>
          <w:rFonts w:ascii="David" w:hAnsi="David" w:cs="David" w:hint="cs"/>
          <w:color w:val="000000"/>
          <w:rtl/>
        </w:rPr>
        <w:t>")</w:t>
      </w:r>
      <w:r w:rsidRPr="006F5EB7">
        <w:rPr>
          <w:rFonts w:ascii="David" w:hAnsi="David" w:cs="David"/>
          <w:color w:val="000000"/>
          <w:rtl/>
        </w:rPr>
        <w:t xml:space="preserve">). </w:t>
      </w:r>
    </w:p>
    <w:p w:rsidR="00826272" w:rsidRPr="006F5EB7" w:rsidRDefault="00826272" w:rsidP="00AC5BDC">
      <w:pPr>
        <w:pStyle w:val="filenumber0"/>
        <w:shd w:val="clear" w:color="auto" w:fill="FFFFFF"/>
        <w:bidi/>
        <w:spacing w:beforeAutospacing="0" w:after="0" w:afterAutospacing="0" w:line="360" w:lineRule="auto"/>
        <w:ind w:left="1440"/>
        <w:jc w:val="both"/>
        <w:rPr>
          <w:rFonts w:ascii="David" w:hAnsi="David" w:cs="David"/>
          <w:color w:val="000000"/>
          <w:rtl/>
        </w:rPr>
      </w:pPr>
      <w:r w:rsidRPr="006F5EB7">
        <w:rPr>
          <w:rFonts w:ascii="David" w:hAnsi="David" w:cs="David"/>
          <w:color w:val="000000"/>
          <w:rtl/>
        </w:rPr>
        <w:t xml:space="preserve">נסיבות המקרה הנדון משתלבות היטב עם תיאור התופעה כאמור: החל מהדרך בה "איתר" הנאשם את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color w:val="000000"/>
          <w:rtl/>
        </w:rPr>
        <w:t xml:space="preserve">במרשתת; דרך מסך האנונימיות אשר אִפשר לו לנצל </w:t>
      </w:r>
      <w:r w:rsidR="0054084D">
        <w:rPr>
          <w:rFonts w:ascii="David" w:hAnsi="David" w:cs="David" w:hint="cs"/>
          <w:color w:val="000000"/>
          <w:rtl/>
        </w:rPr>
        <w:t xml:space="preserve"> </w:t>
      </w:r>
      <w:r w:rsidRPr="006F5EB7">
        <w:rPr>
          <w:rFonts w:ascii="David" w:hAnsi="David" w:cs="David"/>
          <w:color w:val="000000"/>
          <w:rtl/>
        </w:rPr>
        <w:t xml:space="preserve">את הידיעה שמדובר בקטינה ולבנות סיפור רקע שקרי; רכישת אמונה של </w:t>
      </w:r>
      <w:r w:rsidR="00B8665E">
        <w:rPr>
          <w:rFonts w:ascii="David" w:hAnsi="David" w:cs="David" w:hint="cs"/>
          <w:rtl/>
        </w:rPr>
        <w:t>הקטינה</w:t>
      </w:r>
      <w:r w:rsidR="0054084D" w:rsidRPr="006F5EB7">
        <w:rPr>
          <w:rFonts w:ascii="David" w:hAnsi="David" w:cs="David"/>
          <w:rtl/>
        </w:rPr>
        <w:t xml:space="preserve"> </w:t>
      </w:r>
      <w:r w:rsidRPr="006F5EB7">
        <w:rPr>
          <w:rFonts w:ascii="David" w:hAnsi="David" w:cs="David"/>
          <w:color w:val="000000"/>
          <w:rtl/>
        </w:rPr>
        <w:t>באמצעות כתיבת מניפולציות רגשיות שונות; נגישות המרשתת ל</w:t>
      </w:r>
      <w:r w:rsidR="004F2D73">
        <w:rPr>
          <w:rFonts w:ascii="David" w:hAnsi="David" w:cs="David" w:hint="cs"/>
          <w:color w:val="000000"/>
          <w:rtl/>
        </w:rPr>
        <w:t xml:space="preserve">שם </w:t>
      </w:r>
      <w:r w:rsidRPr="006F5EB7">
        <w:rPr>
          <w:rFonts w:ascii="David" w:hAnsi="David" w:cs="David"/>
          <w:color w:val="000000"/>
          <w:rtl/>
        </w:rPr>
        <w:t xml:space="preserve">קשר </w:t>
      </w:r>
      <w:r w:rsidRPr="006F5EB7">
        <w:rPr>
          <w:rFonts w:ascii="David" w:hAnsi="David" w:cs="David"/>
          <w:color w:val="000000"/>
          <w:rtl/>
        </w:rPr>
        <w:lastRenderedPageBreak/>
        <w:t xml:space="preserve">אינטנסיבי ביותר </w:t>
      </w:r>
      <w:r w:rsidR="004F2D73">
        <w:rPr>
          <w:rFonts w:ascii="David" w:hAnsi="David" w:cs="David" w:hint="cs"/>
          <w:color w:val="000000"/>
          <w:rtl/>
        </w:rPr>
        <w:t>א</w:t>
      </w:r>
      <w:r w:rsidRPr="006F5EB7">
        <w:rPr>
          <w:rFonts w:ascii="David" w:hAnsi="David" w:cs="David"/>
          <w:color w:val="000000"/>
          <w:rtl/>
        </w:rPr>
        <w:t>ש</w:t>
      </w:r>
      <w:r w:rsidR="004F2D73">
        <w:rPr>
          <w:rFonts w:ascii="David" w:hAnsi="David" w:cs="David" w:hint="cs"/>
          <w:color w:val="000000"/>
          <w:rtl/>
        </w:rPr>
        <w:t xml:space="preserve">ר </w:t>
      </w:r>
      <w:r w:rsidRPr="006F5EB7">
        <w:rPr>
          <w:rFonts w:ascii="David" w:hAnsi="David" w:cs="David"/>
          <w:color w:val="000000"/>
          <w:rtl/>
        </w:rPr>
        <w:t>נמשך לא פעם שעות רבות ביממה; העברת מסרים מיניים, לרבות תיעוד, בדרך קלה</w:t>
      </w:r>
      <w:r w:rsidR="004F2D73">
        <w:rPr>
          <w:rFonts w:ascii="David" w:hAnsi="David" w:cs="David" w:hint="cs"/>
          <w:color w:val="000000"/>
          <w:rtl/>
        </w:rPr>
        <w:t xml:space="preserve"> ופשוטה</w:t>
      </w:r>
      <w:r w:rsidRPr="006F5EB7">
        <w:rPr>
          <w:rFonts w:ascii="David" w:hAnsi="David" w:cs="David"/>
          <w:color w:val="000000"/>
          <w:rtl/>
        </w:rPr>
        <w:t xml:space="preserve">. נסיבות אלה ממחישות בדרך קרה וקשה את הסכנות הכרוכות </w:t>
      </w:r>
      <w:r w:rsidR="004F2D73">
        <w:rPr>
          <w:rFonts w:ascii="David" w:hAnsi="David" w:cs="David" w:hint="cs"/>
          <w:color w:val="000000"/>
          <w:rtl/>
        </w:rPr>
        <w:t>ב</w:t>
      </w:r>
      <w:r w:rsidRPr="006F5EB7">
        <w:rPr>
          <w:rFonts w:ascii="David" w:hAnsi="David" w:cs="David"/>
          <w:color w:val="000000"/>
          <w:rtl/>
        </w:rPr>
        <w:t xml:space="preserve">שימוש במרשתת, את הטורף אשר ארב שם </w:t>
      </w:r>
      <w:r w:rsidR="004F2D73">
        <w:rPr>
          <w:rFonts w:ascii="David" w:hAnsi="David" w:cs="David" w:hint="cs"/>
          <w:color w:val="000000"/>
          <w:rtl/>
        </w:rPr>
        <w:t>ל</w:t>
      </w:r>
      <w:r w:rsidR="00B8665E">
        <w:rPr>
          <w:rFonts w:ascii="David" w:hAnsi="David" w:cs="David" w:hint="cs"/>
          <w:rtl/>
        </w:rPr>
        <w:t>קטינה</w:t>
      </w:r>
      <w:r w:rsidR="004F2D73">
        <w:rPr>
          <w:rFonts w:ascii="David" w:hAnsi="David" w:cs="David" w:hint="cs"/>
          <w:color w:val="000000"/>
          <w:rtl/>
        </w:rPr>
        <w:t xml:space="preserve"> </w:t>
      </w:r>
      <w:r w:rsidRPr="006F5EB7">
        <w:rPr>
          <w:rFonts w:ascii="David" w:hAnsi="David" w:cs="David"/>
          <w:color w:val="000000"/>
          <w:rtl/>
        </w:rPr>
        <w:t xml:space="preserve">וחדר בדרך מניפולטיבית ובוטה אל חייה וחיי משפחתה. זאת ועוד: מקרה זה מדגים את הקושי הבלתי נסבל של הורים להגן על ילדיהם הקטינים מפני אותם זֵדים העושים שימוש במרחב בו קצרה ידם מלהושיע, כפי שתיארה אמהּ של </w:t>
      </w:r>
      <w:r w:rsidR="00B8665E">
        <w:rPr>
          <w:rFonts w:ascii="David" w:hAnsi="David" w:cs="David" w:hint="cs"/>
          <w:rtl/>
        </w:rPr>
        <w:t>הקטינה</w:t>
      </w:r>
      <w:r w:rsidRPr="006F5EB7">
        <w:rPr>
          <w:rFonts w:ascii="David" w:hAnsi="David" w:cs="David"/>
          <w:color w:val="000000"/>
          <w:rtl/>
        </w:rPr>
        <w:t xml:space="preserve"> - "</w:t>
      </w:r>
      <w:r w:rsidRPr="006F5EB7">
        <w:rPr>
          <w:rFonts w:ascii="David" w:hAnsi="David" w:cs="David"/>
          <w:b/>
          <w:bCs/>
          <w:color w:val="000000"/>
          <w:rtl/>
        </w:rPr>
        <w:t>לא הצלחנו להגן על הבת שלנו. בבית שלנו, בתוך הקהילה הכאילו בטוחה שלנו</w:t>
      </w:r>
      <w:r w:rsidRPr="006F5EB7">
        <w:rPr>
          <w:rFonts w:ascii="David" w:hAnsi="David" w:cs="David"/>
          <w:color w:val="000000"/>
          <w:rtl/>
        </w:rPr>
        <w:t xml:space="preserve">" (טמ/1). </w:t>
      </w:r>
    </w:p>
    <w:p w:rsidR="00826272" w:rsidRPr="006F5EB7" w:rsidRDefault="00826272" w:rsidP="00826272">
      <w:pPr>
        <w:pStyle w:val="filenumber0"/>
        <w:shd w:val="clear" w:color="auto" w:fill="FFFFFF"/>
        <w:bidi/>
        <w:spacing w:beforeAutospacing="0" w:after="0" w:afterAutospacing="0" w:line="280" w:lineRule="atLeast"/>
        <w:ind w:left="1440"/>
        <w:jc w:val="both"/>
        <w:rPr>
          <w:rFonts w:ascii="David" w:hAnsi="David" w:cs="David"/>
          <w:color w:val="000000"/>
          <w:rtl/>
        </w:rPr>
      </w:pPr>
      <w:r w:rsidRPr="006F5EB7">
        <w:rPr>
          <w:rFonts w:ascii="David" w:hAnsi="David" w:cs="David"/>
          <w:color w:val="000000"/>
          <w:rtl/>
        </w:rPr>
        <w:t>בית המשפט העליון התייחס לצורך בהלימת הענישה לכלל נתונים אלה:</w:t>
      </w:r>
    </w:p>
    <w:p w:rsidR="00826272" w:rsidRPr="006F5EB7" w:rsidRDefault="00826272" w:rsidP="002602E1">
      <w:pPr>
        <w:pStyle w:val="filenumber0"/>
        <w:shd w:val="clear" w:color="auto" w:fill="FFFFFF"/>
        <w:bidi/>
        <w:spacing w:beforeAutospacing="0" w:after="0" w:afterAutospacing="0"/>
        <w:ind w:left="1928" w:right="1134"/>
        <w:jc w:val="both"/>
        <w:rPr>
          <w:rFonts w:ascii="David" w:hAnsi="David" w:cs="David"/>
          <w:rtl/>
        </w:rPr>
      </w:pPr>
      <w:r w:rsidRPr="006F5EB7">
        <w:rPr>
          <w:rFonts w:ascii="David" w:hAnsi="David" w:cs="David"/>
          <w:color w:val="000000"/>
          <w:rtl/>
        </w:rPr>
        <w:t>"</w:t>
      </w:r>
      <w:r w:rsidRPr="006F5EB7">
        <w:rPr>
          <w:rFonts w:ascii="David" w:hAnsi="David" w:cs="David"/>
          <w:b/>
          <w:bCs/>
          <w:color w:val="000000"/>
          <w:shd w:val="clear" w:color="auto" w:fill="FFFFFF"/>
          <w:rtl/>
        </w:rPr>
        <w:t>בית משפט זה עמד על כך שגזירת דינם של אלו הפועלים בחסות הרשת צריכה להלום את קלות ביצוע העבירה, פוטנציאל ההישנות שלה ופוטנציאל הפגיעה בה, אשר מושפעים מהנגישות הרבה לרשת; האנונימיות שהיא מספקת; קלות ההפצה בה; ואף היכולת לפגוע בנפגעי העבירות שעה שהם מצויים בביתם</w:t>
      </w:r>
      <w:r w:rsidRPr="006F5EB7">
        <w:rPr>
          <w:rFonts w:ascii="David" w:hAnsi="David" w:cs="David"/>
          <w:color w:val="000000"/>
          <w:shd w:val="clear" w:color="auto" w:fill="FFFFFF"/>
          <w:rtl/>
        </w:rPr>
        <w:t xml:space="preserve">" (ע"פ 8720/15 </w:t>
      </w:r>
      <w:r w:rsidRPr="006F5EB7">
        <w:rPr>
          <w:rFonts w:ascii="David" w:hAnsi="David" w:cs="David"/>
          <w:b/>
          <w:bCs/>
          <w:color w:val="000000"/>
          <w:shd w:val="clear" w:color="auto" w:fill="FFFFFF"/>
          <w:rtl/>
        </w:rPr>
        <w:t>מדינת ישראל נ' שמעון פינטו</w:t>
      </w:r>
      <w:r w:rsidRPr="006F5EB7">
        <w:rPr>
          <w:rFonts w:ascii="David" w:hAnsi="David" w:cs="David"/>
          <w:color w:val="000000"/>
          <w:shd w:val="clear" w:color="auto" w:fill="FFFFFF"/>
          <w:rtl/>
        </w:rPr>
        <w:t>, פ</w:t>
      </w:r>
      <w:r w:rsidR="00E430BA">
        <w:rPr>
          <w:rFonts w:ascii="David" w:hAnsi="David" w:cs="David" w:hint="cs"/>
          <w:color w:val="000000"/>
          <w:shd w:val="clear" w:color="auto" w:fill="FFFFFF"/>
          <w:rtl/>
        </w:rPr>
        <w:t>י</w:t>
      </w:r>
      <w:r w:rsidRPr="006F5EB7">
        <w:rPr>
          <w:rFonts w:ascii="David" w:hAnsi="David" w:cs="David"/>
          <w:color w:val="000000"/>
          <w:shd w:val="clear" w:color="auto" w:fill="FFFFFF"/>
          <w:rtl/>
        </w:rPr>
        <w:t xml:space="preserve">סקה 21 (11.9.2016)). </w:t>
      </w:r>
    </w:p>
    <w:p w:rsidR="00826272" w:rsidRPr="006F5EB7" w:rsidRDefault="00826272" w:rsidP="00826272">
      <w:pPr>
        <w:pStyle w:val="listparagraph"/>
        <w:bidi/>
        <w:spacing w:before="0" w:beforeAutospacing="0" w:after="0" w:afterAutospacing="0" w:line="360" w:lineRule="auto"/>
        <w:ind w:left="1440" w:hanging="720"/>
        <w:jc w:val="both"/>
        <w:rPr>
          <w:rFonts w:ascii="David" w:hAnsi="David" w:cs="David"/>
          <w:color w:val="000000"/>
          <w:rtl/>
        </w:rPr>
      </w:pPr>
    </w:p>
    <w:p w:rsidR="00826272" w:rsidRPr="006F5EB7" w:rsidRDefault="00826272" w:rsidP="00826272">
      <w:pPr>
        <w:pStyle w:val="listparagraph"/>
        <w:bidi/>
        <w:spacing w:before="0" w:beforeAutospacing="0" w:after="0" w:afterAutospacing="0" w:line="360" w:lineRule="auto"/>
        <w:ind w:left="1440" w:hanging="720"/>
        <w:jc w:val="both"/>
        <w:rPr>
          <w:rFonts w:ascii="David" w:hAnsi="David" w:cs="David"/>
          <w:color w:val="000000"/>
          <w:rtl/>
        </w:rPr>
      </w:pPr>
      <w:r w:rsidRPr="006F5EB7">
        <w:rPr>
          <w:rFonts w:ascii="David" w:hAnsi="David" w:cs="David"/>
          <w:color w:val="000000"/>
          <w:rtl/>
        </w:rPr>
        <w:t>(-)</w:t>
      </w:r>
      <w:r w:rsidRPr="006F5EB7">
        <w:rPr>
          <w:rFonts w:ascii="David" w:hAnsi="David" w:cs="David"/>
          <w:color w:val="000000"/>
          <w:rtl/>
        </w:rPr>
        <w:tab/>
      </w:r>
      <w:r w:rsidRPr="006F5EB7">
        <w:rPr>
          <w:rFonts w:ascii="David" w:hAnsi="David" w:cs="David"/>
          <w:b/>
          <w:bCs/>
          <w:color w:val="000000"/>
          <w:rtl/>
        </w:rPr>
        <w:t>חלקו היחסי של הנאשם בביצוע העבירות</w:t>
      </w:r>
      <w:r w:rsidRPr="006F5EB7">
        <w:rPr>
          <w:rFonts w:ascii="David" w:hAnsi="David" w:cs="David"/>
          <w:color w:val="000000"/>
          <w:rtl/>
        </w:rPr>
        <w:t>. בהתאם למפורט לגבי התכנון שקדם לביצוע העבירות</w:t>
      </w:r>
      <w:r w:rsidR="002602E1">
        <w:rPr>
          <w:rFonts w:ascii="David" w:hAnsi="David" w:cs="David" w:hint="cs"/>
          <w:color w:val="000000"/>
          <w:rtl/>
        </w:rPr>
        <w:t>,</w:t>
      </w:r>
      <w:r w:rsidRPr="006F5EB7">
        <w:rPr>
          <w:rFonts w:ascii="David" w:hAnsi="David" w:cs="David"/>
          <w:color w:val="000000"/>
          <w:rtl/>
        </w:rPr>
        <w:t xml:space="preserve"> וכן אופן ניצול השימוש במרשתת, חלקו של הנאשם בביצוען הוא משמעותי ביותר ומרכזי. הנאשם הוא שקידם והוביל את ביצוע העבירות</w:t>
      </w:r>
      <w:r w:rsidR="002602E1">
        <w:rPr>
          <w:rFonts w:ascii="David" w:hAnsi="David" w:cs="David" w:hint="cs"/>
          <w:color w:val="000000"/>
          <w:rtl/>
        </w:rPr>
        <w:t>, על אף שיכול היה להימנע מכך</w:t>
      </w:r>
      <w:r w:rsidRPr="006F5EB7">
        <w:rPr>
          <w:rFonts w:ascii="David" w:hAnsi="David" w:cs="David"/>
          <w:color w:val="000000"/>
          <w:rtl/>
        </w:rPr>
        <w:t xml:space="preserve">. </w:t>
      </w:r>
    </w:p>
    <w:p w:rsidR="00826272" w:rsidRPr="006F5EB7" w:rsidRDefault="00826272" w:rsidP="002602E1">
      <w:pPr>
        <w:pStyle w:val="listparagraph"/>
        <w:bidi/>
        <w:spacing w:before="0" w:beforeAutospacing="0" w:after="0" w:afterAutospacing="0" w:line="360" w:lineRule="auto"/>
        <w:ind w:left="1440" w:hanging="720"/>
        <w:jc w:val="both"/>
        <w:rPr>
          <w:rFonts w:ascii="David" w:hAnsi="David" w:cs="David"/>
          <w:color w:val="000000"/>
          <w:rtl/>
        </w:rPr>
      </w:pPr>
      <w:r w:rsidRPr="006F5EB7">
        <w:rPr>
          <w:rFonts w:ascii="David" w:hAnsi="David" w:cs="David"/>
          <w:color w:val="000000"/>
          <w:rtl/>
        </w:rPr>
        <w:t>(-)</w:t>
      </w:r>
      <w:r w:rsidRPr="006F5EB7">
        <w:rPr>
          <w:rFonts w:ascii="David" w:hAnsi="David" w:cs="David"/>
          <w:color w:val="000000"/>
          <w:rtl/>
        </w:rPr>
        <w:tab/>
      </w:r>
      <w:r w:rsidRPr="006F5EB7">
        <w:rPr>
          <w:rFonts w:ascii="David" w:hAnsi="David" w:cs="David"/>
          <w:b/>
          <w:bCs/>
          <w:color w:val="000000"/>
          <w:rtl/>
        </w:rPr>
        <w:t>הנזק שהיה צפוי להיגרם מביצוע העבירות</w:t>
      </w:r>
      <w:r w:rsidRPr="006F5EB7">
        <w:rPr>
          <w:rFonts w:ascii="David" w:hAnsi="David" w:cs="David"/>
          <w:color w:val="000000"/>
          <w:rtl/>
        </w:rPr>
        <w:t>. פגיעה מינית בקטין מקיימת פוטנציאל ממשי לנזק קשה וארוך טווח, בשל חוסר בשלות נפשית ותחילת התפתחות אישיות</w:t>
      </w:r>
      <w:r w:rsidR="002602E1">
        <w:rPr>
          <w:rFonts w:ascii="David" w:hAnsi="David" w:cs="David" w:hint="cs"/>
          <w:color w:val="000000"/>
          <w:rtl/>
        </w:rPr>
        <w:t xml:space="preserve"> מגובשת</w:t>
      </w:r>
      <w:r w:rsidRPr="006F5EB7">
        <w:rPr>
          <w:rFonts w:ascii="David" w:hAnsi="David" w:cs="David"/>
          <w:color w:val="000000"/>
          <w:rtl/>
        </w:rPr>
        <w:t>:</w:t>
      </w:r>
    </w:p>
    <w:p w:rsidR="00826272" w:rsidRPr="006F5EB7" w:rsidRDefault="00826272" w:rsidP="00826272">
      <w:pPr>
        <w:pStyle w:val="listparagraph"/>
        <w:bidi/>
        <w:spacing w:before="0" w:beforeAutospacing="0" w:after="0" w:afterAutospacing="0"/>
        <w:ind w:left="1928" w:right="1134" w:hanging="720"/>
        <w:jc w:val="both"/>
        <w:rPr>
          <w:rFonts w:ascii="David" w:hAnsi="David" w:cs="David"/>
          <w:color w:val="000000"/>
          <w:rtl/>
        </w:rPr>
      </w:pPr>
      <w:r w:rsidRPr="006F5EB7">
        <w:rPr>
          <w:rFonts w:ascii="David" w:hAnsi="David" w:cs="David"/>
          <w:color w:val="000000"/>
          <w:rtl/>
        </w:rPr>
        <w:tab/>
        <w:t>"</w:t>
      </w:r>
      <w:r w:rsidRPr="006F5EB7">
        <w:rPr>
          <w:rFonts w:ascii="David" w:hAnsi="David" w:cs="David"/>
          <w:b/>
          <w:bCs/>
          <w:color w:val="000000"/>
          <w:rtl/>
        </w:rPr>
        <w:t>הפגיעה בנפשו של הקטין בשלב זה של חייו, שבו טרם התגבשה אישיותו באופן מלא, מותירה בו פעמים רבות צלקות עמוקות ומתמשכות. מכאן הצורך להטיל עונשים משמעותיים ומרתיעים על המבצעים של עבירות אלה, באופן שיגן על שלמות גופם, נפשם ובטחונם של קטינים</w:t>
      </w:r>
      <w:r w:rsidRPr="006F5EB7">
        <w:rPr>
          <w:rFonts w:ascii="David" w:hAnsi="David" w:cs="David"/>
          <w:color w:val="000000"/>
          <w:rtl/>
        </w:rPr>
        <w:t xml:space="preserve">" </w:t>
      </w:r>
    </w:p>
    <w:p w:rsidR="00826272" w:rsidRPr="006F5EB7" w:rsidRDefault="00826272" w:rsidP="00826272">
      <w:pPr>
        <w:pStyle w:val="listparagraph"/>
        <w:bidi/>
        <w:spacing w:before="0" w:beforeAutospacing="0" w:after="0" w:afterAutospacing="0"/>
        <w:ind w:left="1928" w:right="1134"/>
        <w:jc w:val="both"/>
        <w:rPr>
          <w:rFonts w:ascii="David" w:hAnsi="David" w:cs="David"/>
          <w:b/>
          <w:bCs/>
          <w:color w:val="000000"/>
          <w:rtl/>
        </w:rPr>
      </w:pPr>
      <w:r w:rsidRPr="006F5EB7">
        <w:rPr>
          <w:rFonts w:ascii="David" w:hAnsi="David" w:cs="David"/>
          <w:color w:val="000000"/>
          <w:rtl/>
        </w:rPr>
        <w:t>(ע"פ 7046/18</w:t>
      </w:r>
      <w:r w:rsidRPr="006F5EB7">
        <w:rPr>
          <w:rFonts w:ascii="David" w:hAnsi="David" w:cs="David"/>
          <w:b/>
          <w:bCs/>
          <w:color w:val="000000"/>
          <w:rtl/>
        </w:rPr>
        <w:t xml:space="preserve"> פלוני נ' מדינת ישראל</w:t>
      </w:r>
      <w:r w:rsidRPr="006F5EB7">
        <w:rPr>
          <w:rFonts w:ascii="David" w:hAnsi="David" w:cs="David"/>
          <w:color w:val="000000"/>
          <w:rtl/>
        </w:rPr>
        <w:t>, פ</w:t>
      </w:r>
      <w:r w:rsidR="00E430BA">
        <w:rPr>
          <w:rFonts w:ascii="David" w:hAnsi="David" w:cs="David" w:hint="cs"/>
          <w:color w:val="000000"/>
          <w:rtl/>
        </w:rPr>
        <w:t>י</w:t>
      </w:r>
      <w:r w:rsidRPr="006F5EB7">
        <w:rPr>
          <w:rFonts w:ascii="David" w:hAnsi="David" w:cs="David"/>
          <w:color w:val="000000"/>
          <w:rtl/>
        </w:rPr>
        <w:t>סקה 13 (18.8.2021)).</w:t>
      </w:r>
      <w:r w:rsidRPr="006F5EB7">
        <w:rPr>
          <w:rFonts w:ascii="David" w:hAnsi="David" w:cs="David"/>
          <w:b/>
          <w:bCs/>
          <w:color w:val="000000"/>
          <w:rtl/>
        </w:rPr>
        <w:t xml:space="preserve"> </w:t>
      </w:r>
    </w:p>
    <w:p w:rsidR="00826272" w:rsidRPr="006F5EB7" w:rsidRDefault="00826272" w:rsidP="00826272">
      <w:pPr>
        <w:pStyle w:val="listparagraph"/>
        <w:bidi/>
        <w:spacing w:before="0" w:beforeAutospacing="0" w:after="0" w:afterAutospacing="0"/>
        <w:ind w:right="1134"/>
        <w:jc w:val="both"/>
        <w:rPr>
          <w:rFonts w:ascii="David" w:hAnsi="David" w:cs="David"/>
          <w:color w:val="000000"/>
          <w:rtl/>
        </w:rPr>
      </w:pPr>
      <w:r w:rsidRPr="006F5EB7">
        <w:rPr>
          <w:rFonts w:ascii="David" w:hAnsi="David" w:cs="David"/>
          <w:b/>
          <w:bCs/>
          <w:color w:val="000000"/>
          <w:rtl/>
        </w:rPr>
        <w:tab/>
      </w:r>
      <w:r w:rsidRPr="006F5EB7">
        <w:rPr>
          <w:rFonts w:ascii="David" w:hAnsi="David" w:cs="David"/>
          <w:b/>
          <w:bCs/>
          <w:color w:val="000000"/>
          <w:rtl/>
        </w:rPr>
        <w:tab/>
        <w:t> </w:t>
      </w:r>
      <w:r w:rsidRPr="006F5EB7">
        <w:rPr>
          <w:rFonts w:ascii="David" w:hAnsi="David" w:cs="David"/>
          <w:color w:val="000000"/>
          <w:rtl/>
        </w:rPr>
        <w:t xml:space="preserve">  </w:t>
      </w:r>
    </w:p>
    <w:p w:rsidR="00826272" w:rsidRPr="006F5EB7" w:rsidRDefault="00826272" w:rsidP="002602E1">
      <w:pPr>
        <w:pStyle w:val="listparagraph"/>
        <w:bidi/>
        <w:spacing w:before="0" w:beforeAutospacing="0" w:after="0" w:afterAutospacing="0" w:line="360" w:lineRule="auto"/>
        <w:ind w:left="1440"/>
        <w:jc w:val="both"/>
        <w:rPr>
          <w:rFonts w:ascii="David" w:hAnsi="David" w:cs="David"/>
          <w:color w:val="000000"/>
          <w:rtl/>
        </w:rPr>
      </w:pPr>
      <w:r w:rsidRPr="006F5EB7">
        <w:rPr>
          <w:rFonts w:ascii="David" w:hAnsi="David" w:cs="David"/>
          <w:color w:val="000000"/>
          <w:rtl/>
        </w:rPr>
        <w:t xml:space="preserve">לנוכח הנזקים הקשים וארוכי הטווח של עבירות </w:t>
      </w:r>
      <w:r w:rsidR="002602E1">
        <w:rPr>
          <w:rFonts w:ascii="David" w:hAnsi="David" w:cs="David" w:hint="cs"/>
          <w:color w:val="000000"/>
          <w:rtl/>
        </w:rPr>
        <w:t xml:space="preserve">מין </w:t>
      </w:r>
      <w:r w:rsidRPr="006F5EB7">
        <w:rPr>
          <w:rFonts w:ascii="David" w:hAnsi="David" w:cs="David"/>
          <w:color w:val="000000"/>
          <w:rtl/>
        </w:rPr>
        <w:t xml:space="preserve">המבוצעות בקטינים, יש להחמיר בענישה ולהעביר מסר חד משמעי בדמות הטלת עונש מאסר ממושך: </w:t>
      </w:r>
    </w:p>
    <w:p w:rsidR="00826272" w:rsidRPr="006F5EB7" w:rsidRDefault="00826272" w:rsidP="00826272">
      <w:pPr>
        <w:pStyle w:val="listparagraph"/>
        <w:bidi/>
        <w:spacing w:before="0" w:beforeAutospacing="0" w:after="0" w:afterAutospacing="0"/>
        <w:ind w:left="1928" w:right="1134"/>
        <w:jc w:val="both"/>
        <w:rPr>
          <w:rFonts w:ascii="David" w:hAnsi="David" w:cs="David"/>
          <w:color w:val="000000"/>
          <w:rtl/>
        </w:rPr>
      </w:pPr>
      <w:r w:rsidRPr="006F5EB7">
        <w:rPr>
          <w:rFonts w:ascii="David" w:hAnsi="David" w:cs="David"/>
          <w:color w:val="000000"/>
          <w:rtl/>
        </w:rPr>
        <w:t>"</w:t>
      </w:r>
      <w:r w:rsidRPr="006F5EB7">
        <w:rPr>
          <w:rFonts w:ascii="David" w:hAnsi="David" w:cs="David"/>
          <w:b/>
          <w:bCs/>
          <w:color w:val="000000"/>
          <w:rtl/>
        </w:rPr>
        <w:t>עבירות מסוג זה פוצעות את הקורבנות בגוף ונפש, ועל כן הולם אותן עונש של מאסר ממושך</w:t>
      </w:r>
      <w:r w:rsidRPr="006F5EB7">
        <w:rPr>
          <w:rFonts w:ascii="David" w:hAnsi="David" w:cs="David"/>
          <w:color w:val="000000"/>
          <w:rtl/>
        </w:rPr>
        <w:t xml:space="preserve">" </w:t>
      </w:r>
    </w:p>
    <w:p w:rsidR="00826272" w:rsidRPr="006F5EB7" w:rsidRDefault="00826272" w:rsidP="00826272">
      <w:pPr>
        <w:pStyle w:val="listparagraph"/>
        <w:bidi/>
        <w:spacing w:before="0" w:beforeAutospacing="0" w:after="0" w:afterAutospacing="0"/>
        <w:ind w:left="1928" w:right="1134"/>
        <w:jc w:val="both"/>
        <w:rPr>
          <w:rFonts w:ascii="David" w:hAnsi="David" w:cs="David"/>
          <w:color w:val="000000"/>
          <w:rtl/>
        </w:rPr>
      </w:pPr>
      <w:r w:rsidRPr="006F5EB7">
        <w:rPr>
          <w:rFonts w:ascii="David" w:hAnsi="David" w:cs="David"/>
          <w:color w:val="000000"/>
          <w:rtl/>
        </w:rPr>
        <w:t xml:space="preserve">(ע"פ 5149/12 </w:t>
      </w:r>
      <w:r w:rsidRPr="006F5EB7">
        <w:rPr>
          <w:rFonts w:ascii="David" w:hAnsi="David" w:cs="David"/>
          <w:b/>
          <w:bCs/>
          <w:color w:val="000000"/>
          <w:rtl/>
        </w:rPr>
        <w:t>פלוני נ' מדינת ישראל</w:t>
      </w:r>
      <w:r w:rsidRPr="006F5EB7">
        <w:rPr>
          <w:rFonts w:ascii="David" w:hAnsi="David" w:cs="David"/>
          <w:color w:val="000000"/>
          <w:rtl/>
        </w:rPr>
        <w:t>, פ</w:t>
      </w:r>
      <w:r w:rsidR="00E430BA">
        <w:rPr>
          <w:rFonts w:ascii="David" w:hAnsi="David" w:cs="David" w:hint="cs"/>
          <w:color w:val="000000"/>
          <w:rtl/>
        </w:rPr>
        <w:t>י</w:t>
      </w:r>
      <w:r w:rsidRPr="006F5EB7">
        <w:rPr>
          <w:rFonts w:ascii="David" w:hAnsi="David" w:cs="David"/>
          <w:color w:val="000000"/>
          <w:rtl/>
        </w:rPr>
        <w:t>סקה 92 (13.1.2014)).</w:t>
      </w:r>
    </w:p>
    <w:p w:rsidR="00826272" w:rsidRPr="006F5EB7" w:rsidRDefault="00826272" w:rsidP="00826272">
      <w:pPr>
        <w:pStyle w:val="listparagraph"/>
        <w:bidi/>
        <w:spacing w:before="0" w:beforeAutospacing="0" w:after="0" w:afterAutospacing="0"/>
        <w:ind w:right="1134"/>
        <w:jc w:val="both"/>
        <w:rPr>
          <w:rFonts w:ascii="David" w:hAnsi="David" w:cs="David"/>
          <w:color w:val="000000"/>
          <w:rtl/>
        </w:rPr>
      </w:pPr>
      <w:r w:rsidRPr="006F5EB7">
        <w:rPr>
          <w:rFonts w:ascii="David" w:hAnsi="David" w:cs="David"/>
          <w:color w:val="000000"/>
          <w:rtl/>
        </w:rPr>
        <w:tab/>
      </w:r>
      <w:r w:rsidRPr="006F5EB7">
        <w:rPr>
          <w:rFonts w:ascii="David" w:hAnsi="David" w:cs="David"/>
          <w:color w:val="000000"/>
          <w:rtl/>
        </w:rPr>
        <w:tab/>
      </w:r>
    </w:p>
    <w:p w:rsidR="00826272" w:rsidRPr="006F5EB7" w:rsidRDefault="00826272" w:rsidP="002602E1">
      <w:pPr>
        <w:pStyle w:val="listparagraph"/>
        <w:bidi/>
        <w:spacing w:before="0" w:beforeAutospacing="0" w:after="0" w:afterAutospacing="0" w:line="360" w:lineRule="auto"/>
        <w:ind w:left="1440"/>
        <w:jc w:val="both"/>
        <w:rPr>
          <w:rFonts w:ascii="David" w:hAnsi="David" w:cs="David"/>
          <w:color w:val="000000"/>
          <w:rtl/>
        </w:rPr>
      </w:pPr>
      <w:r w:rsidRPr="006F5EB7">
        <w:rPr>
          <w:rFonts w:ascii="David" w:hAnsi="David" w:cs="David"/>
          <w:color w:val="000000"/>
          <w:rtl/>
        </w:rPr>
        <w:t xml:space="preserve">באופן דומה, החזקת חומרי תועבה גורמת ליצירת אותם חומרים ומעודדת את הפקתם, תוך אפשרות ממשית וסבירה לפגיעה קשה </w:t>
      </w:r>
      <w:r w:rsidR="002602E1">
        <w:rPr>
          <w:rFonts w:ascii="David" w:hAnsi="David" w:cs="David" w:hint="cs"/>
          <w:color w:val="000000"/>
          <w:rtl/>
        </w:rPr>
        <w:t xml:space="preserve">לשם כך, </w:t>
      </w:r>
      <w:r w:rsidRPr="006F5EB7">
        <w:rPr>
          <w:rFonts w:ascii="David" w:hAnsi="David" w:cs="David"/>
          <w:color w:val="000000"/>
          <w:rtl/>
        </w:rPr>
        <w:t xml:space="preserve">בקטינים המצולמים: </w:t>
      </w:r>
    </w:p>
    <w:p w:rsidR="00826272" w:rsidRPr="006F5EB7" w:rsidRDefault="00826272" w:rsidP="00826272">
      <w:pPr>
        <w:pStyle w:val="listparagraph"/>
        <w:bidi/>
        <w:spacing w:before="0" w:beforeAutospacing="0" w:after="0" w:afterAutospacing="0"/>
        <w:ind w:left="1928" w:right="1134"/>
        <w:jc w:val="both"/>
        <w:rPr>
          <w:rFonts w:ascii="David" w:hAnsi="David" w:cs="David"/>
          <w:color w:val="000000"/>
          <w:shd w:val="clear" w:color="auto" w:fill="FFFFFF"/>
          <w:rtl/>
        </w:rPr>
      </w:pPr>
      <w:r w:rsidRPr="006F5EB7">
        <w:rPr>
          <w:rFonts w:ascii="David" w:hAnsi="David" w:cs="David"/>
          <w:color w:val="000000"/>
          <w:shd w:val="clear" w:color="auto" w:fill="FFFFFF"/>
          <w:rtl/>
        </w:rPr>
        <w:t>"</w:t>
      </w:r>
      <w:r w:rsidRPr="006F5EB7">
        <w:rPr>
          <w:rFonts w:ascii="David" w:hAnsi="David" w:cs="David"/>
          <w:b/>
          <w:bCs/>
          <w:color w:val="000000"/>
          <w:shd w:val="clear" w:color="auto" w:fill="FFFFFF"/>
          <w:rtl/>
        </w:rPr>
        <w:t>יצירה והפקה של חומר פורנוגרפי של קטינים, כרוכה לא פעם בפגיעה פיזית בקטינים עצמם כשהם מודעים למתרחש בעת שהם מצולמים בעירום או מקבלים הוראות לבצע מעשים בעלי אופי מיני</w:t>
      </w:r>
      <w:r w:rsidRPr="006F5EB7">
        <w:rPr>
          <w:rFonts w:ascii="David" w:hAnsi="David" w:cs="David"/>
          <w:color w:val="000000"/>
          <w:shd w:val="clear" w:color="auto" w:fill="FFFFFF"/>
          <w:rtl/>
        </w:rPr>
        <w:t xml:space="preserve">" </w:t>
      </w:r>
    </w:p>
    <w:p w:rsidR="00826272" w:rsidRPr="006F5EB7" w:rsidRDefault="00826272" w:rsidP="00826272">
      <w:pPr>
        <w:pStyle w:val="listparagraph"/>
        <w:bidi/>
        <w:spacing w:before="0" w:beforeAutospacing="0" w:after="0" w:afterAutospacing="0"/>
        <w:ind w:left="1928" w:right="1134"/>
        <w:jc w:val="both"/>
        <w:rPr>
          <w:rFonts w:ascii="David" w:hAnsi="David" w:cs="David"/>
          <w:color w:val="000000"/>
          <w:rtl/>
        </w:rPr>
      </w:pPr>
      <w:r w:rsidRPr="006F5EB7">
        <w:rPr>
          <w:rFonts w:ascii="David" w:hAnsi="David" w:cs="David"/>
          <w:color w:val="000000"/>
          <w:shd w:val="clear" w:color="auto" w:fill="FFFFFF"/>
          <w:rtl/>
        </w:rPr>
        <w:t xml:space="preserve">(ע"פ 1269/15 </w:t>
      </w:r>
      <w:r w:rsidRPr="006F5EB7">
        <w:rPr>
          <w:rFonts w:ascii="David" w:hAnsi="David" w:cs="David"/>
          <w:b/>
          <w:bCs/>
          <w:color w:val="000000"/>
          <w:shd w:val="clear" w:color="auto" w:fill="FFFFFF"/>
          <w:rtl/>
        </w:rPr>
        <w:t xml:space="preserve">פלוני נ' מדינת ישראל, </w:t>
      </w:r>
      <w:r w:rsidRPr="006F5EB7">
        <w:rPr>
          <w:rFonts w:ascii="David" w:hAnsi="David" w:cs="David"/>
          <w:color w:val="000000"/>
          <w:shd w:val="clear" w:color="auto" w:fill="FFFFFF"/>
          <w:rtl/>
        </w:rPr>
        <w:t>פ</w:t>
      </w:r>
      <w:r w:rsidR="00E430BA">
        <w:rPr>
          <w:rFonts w:ascii="David" w:hAnsi="David" w:cs="David" w:hint="cs"/>
          <w:color w:val="000000"/>
          <w:shd w:val="clear" w:color="auto" w:fill="FFFFFF"/>
          <w:rtl/>
        </w:rPr>
        <w:t>י</w:t>
      </w:r>
      <w:r w:rsidRPr="006F5EB7">
        <w:rPr>
          <w:rFonts w:ascii="David" w:hAnsi="David" w:cs="David"/>
          <w:color w:val="000000"/>
          <w:shd w:val="clear" w:color="auto" w:fill="FFFFFF"/>
          <w:rtl/>
        </w:rPr>
        <w:t xml:space="preserve">סקה 9 (23.12.2015)). </w:t>
      </w:r>
    </w:p>
    <w:p w:rsidR="00826272" w:rsidRPr="006F5EB7" w:rsidRDefault="00826272" w:rsidP="00826272">
      <w:pPr>
        <w:pStyle w:val="listparagraph"/>
        <w:bidi/>
        <w:spacing w:before="0" w:beforeAutospacing="0" w:after="0" w:afterAutospacing="0"/>
        <w:ind w:left="720" w:right="1134" w:firstLine="720"/>
        <w:jc w:val="both"/>
        <w:rPr>
          <w:rFonts w:ascii="David" w:hAnsi="David" w:cs="David"/>
          <w:color w:val="000000"/>
          <w:rtl/>
        </w:rPr>
      </w:pPr>
    </w:p>
    <w:p w:rsidR="00826272" w:rsidRPr="006F5EB7" w:rsidRDefault="00826272" w:rsidP="00B8665E">
      <w:pPr>
        <w:pStyle w:val="listparagraph"/>
        <w:bidi/>
        <w:spacing w:before="0" w:beforeAutospacing="0" w:after="0" w:afterAutospacing="0" w:line="360" w:lineRule="auto"/>
        <w:ind w:left="1440" w:hanging="720"/>
        <w:jc w:val="both"/>
        <w:rPr>
          <w:rFonts w:ascii="David" w:hAnsi="David" w:cs="David"/>
          <w:color w:val="000000"/>
          <w:rtl/>
        </w:rPr>
      </w:pPr>
      <w:r w:rsidRPr="006F5EB7">
        <w:rPr>
          <w:rFonts w:ascii="David" w:hAnsi="David" w:cs="David"/>
          <w:color w:val="000000"/>
          <w:rtl/>
        </w:rPr>
        <w:t>(-)</w:t>
      </w:r>
      <w:r w:rsidRPr="006F5EB7">
        <w:rPr>
          <w:rFonts w:ascii="David" w:hAnsi="David" w:cs="David"/>
          <w:color w:val="000000"/>
          <w:rtl/>
        </w:rPr>
        <w:tab/>
      </w:r>
      <w:r w:rsidRPr="006F5EB7">
        <w:rPr>
          <w:rFonts w:ascii="David" w:hAnsi="David" w:cs="David"/>
          <w:b/>
          <w:bCs/>
          <w:color w:val="000000"/>
          <w:rtl/>
        </w:rPr>
        <w:t>הנזק שנגרם כתוצאה מביצוע העבירות</w:t>
      </w:r>
      <w:r w:rsidRPr="006F5EB7">
        <w:rPr>
          <w:rFonts w:ascii="David" w:hAnsi="David" w:cs="David"/>
          <w:color w:val="000000"/>
          <w:rtl/>
        </w:rPr>
        <w:t>. בהתבסס על ראיות ועדויות של מספר עדות מומחיות, נקבע בהכרעת הדין כי בע</w:t>
      </w:r>
      <w:r w:rsidR="002602E1">
        <w:rPr>
          <w:rFonts w:ascii="David" w:hAnsi="David" w:cs="David"/>
          <w:color w:val="000000"/>
          <w:rtl/>
        </w:rPr>
        <w:t>קבות הקשר עם הנאשם וכתוצאה ממנו</w:t>
      </w:r>
      <w:r w:rsidRPr="006F5EB7">
        <w:rPr>
          <w:rFonts w:ascii="David" w:hAnsi="David" w:cs="David"/>
          <w:color w:val="000000"/>
          <w:rtl/>
        </w:rPr>
        <w:t xml:space="preserve"> חלה אצל </w:t>
      </w:r>
      <w:r w:rsidR="00B8665E">
        <w:rPr>
          <w:rFonts w:ascii="David" w:hAnsi="David" w:cs="David" w:hint="cs"/>
          <w:rtl/>
        </w:rPr>
        <w:t>הקטינה</w:t>
      </w:r>
      <w:r w:rsidR="009364D5" w:rsidRPr="006F5EB7">
        <w:rPr>
          <w:rFonts w:ascii="David" w:hAnsi="David" w:cs="David"/>
          <w:rtl/>
        </w:rPr>
        <w:t xml:space="preserve"> </w:t>
      </w:r>
      <w:r w:rsidRPr="006F5EB7">
        <w:rPr>
          <w:rFonts w:ascii="David" w:hAnsi="David" w:cs="David"/>
          <w:color w:val="000000"/>
          <w:rtl/>
        </w:rPr>
        <w:t xml:space="preserve">תגובה נפשית קשה וקיצונית (סעיפים 19-22 להכרעת הדין). העבירות שביצע הנאשם הפכו את חיי </w:t>
      </w:r>
      <w:r w:rsidR="00B8665E">
        <w:rPr>
          <w:rFonts w:ascii="David" w:hAnsi="David" w:cs="David" w:hint="cs"/>
          <w:rtl/>
        </w:rPr>
        <w:t>הקטינה</w:t>
      </w:r>
      <w:r w:rsidRPr="006F5EB7">
        <w:rPr>
          <w:rFonts w:ascii="David" w:hAnsi="David" w:cs="David"/>
          <w:color w:val="000000"/>
          <w:rtl/>
        </w:rPr>
        <w:t xml:space="preserve"> מן הקצה אל הקצה. נערה שאובחנה עם </w:t>
      </w:r>
      <w:r w:rsidR="009364D5">
        <w:rPr>
          <w:rFonts w:ascii="David" w:hAnsi="David" w:cs="David" w:hint="cs"/>
          <w:color w:val="000000"/>
          <w:rtl/>
        </w:rPr>
        <w:t xml:space="preserve"> </w:t>
      </w:r>
      <w:r w:rsidRPr="006F5EB7">
        <w:rPr>
          <w:rFonts w:ascii="David" w:hAnsi="David" w:cs="David"/>
          <w:color w:val="000000"/>
          <w:rtl/>
        </w:rPr>
        <w:t>תסמונת אספרגר לפני מעשי הנאשם</w:t>
      </w:r>
      <w:r w:rsidR="002602E1">
        <w:rPr>
          <w:rFonts w:ascii="David" w:hAnsi="David" w:cs="David" w:hint="cs"/>
          <w:color w:val="000000"/>
          <w:rtl/>
        </w:rPr>
        <w:t>,</w:t>
      </w:r>
      <w:r w:rsidRPr="006F5EB7">
        <w:rPr>
          <w:rFonts w:ascii="David" w:hAnsi="David" w:cs="David"/>
          <w:color w:val="000000"/>
          <w:rtl/>
        </w:rPr>
        <w:t xml:space="preserve"> אך שולבה במערכת החינוך הרגילה ולא נזקקה לטיפול </w:t>
      </w:r>
      <w:r w:rsidR="002602E1">
        <w:rPr>
          <w:rFonts w:ascii="David" w:hAnsi="David" w:cs="David" w:hint="cs"/>
          <w:color w:val="000000"/>
          <w:rtl/>
        </w:rPr>
        <w:t>פסיכיאטרי</w:t>
      </w:r>
      <w:r w:rsidRPr="006F5EB7">
        <w:rPr>
          <w:rFonts w:ascii="David" w:hAnsi="David" w:cs="David"/>
          <w:color w:val="000000"/>
          <w:rtl/>
        </w:rPr>
        <w:t>, צנחה כתוצאה ממעשי</w:t>
      </w:r>
      <w:r w:rsidR="002602E1">
        <w:rPr>
          <w:rFonts w:ascii="David" w:hAnsi="David" w:cs="David" w:hint="cs"/>
          <w:color w:val="000000"/>
          <w:rtl/>
        </w:rPr>
        <w:t>ו</w:t>
      </w:r>
      <w:r w:rsidRPr="006F5EB7">
        <w:rPr>
          <w:rFonts w:ascii="David" w:hAnsi="David" w:cs="David"/>
          <w:color w:val="000000"/>
          <w:rtl/>
        </w:rPr>
        <w:t xml:space="preserve"> אל תהום שתחתיתה לא ידועה: חוסר שינה ו"פלאשבקים"; אכילה רגשית וכפייתית; אבחונהּ כסובלת מדכאון, פוסט טראומה כתוצאה מהמעשים, עם מורכבות של רגשות אשם ואחריות; דחף לפגיעה עצמית; מספר אשפוזים פסיכיאטריים; </w:t>
      </w:r>
      <w:r w:rsidR="004309BA">
        <w:rPr>
          <w:rFonts w:ascii="David" w:hAnsi="David" w:cs="David" w:hint="cs"/>
          <w:color w:val="000000"/>
          <w:rtl/>
        </w:rPr>
        <w:t xml:space="preserve">מספר </w:t>
      </w:r>
      <w:r w:rsidRPr="006F5EB7">
        <w:rPr>
          <w:rFonts w:ascii="David" w:hAnsi="David" w:cs="David"/>
          <w:color w:val="000000"/>
          <w:rtl/>
        </w:rPr>
        <w:t xml:space="preserve">נסיונות אובדניים </w:t>
      </w:r>
      <w:r w:rsidR="004309BA">
        <w:rPr>
          <w:rFonts w:ascii="David" w:hAnsi="David" w:cs="David" w:hint="cs"/>
          <w:color w:val="000000"/>
          <w:rtl/>
        </w:rPr>
        <w:t xml:space="preserve">בדרך של </w:t>
      </w:r>
      <w:r w:rsidRPr="006F5EB7">
        <w:rPr>
          <w:rFonts w:ascii="David" w:hAnsi="David" w:cs="David"/>
          <w:color w:val="000000"/>
          <w:rtl/>
        </w:rPr>
        <w:t xml:space="preserve">בליעת כדורים, חיתוך </w:t>
      </w:r>
      <w:r w:rsidR="006F5EB7" w:rsidRPr="006F5EB7">
        <w:rPr>
          <w:rFonts w:ascii="David" w:hAnsi="David" w:cs="David"/>
          <w:color w:val="000000"/>
          <w:rtl/>
        </w:rPr>
        <w:t>פרקי אמות ידיה</w:t>
      </w:r>
      <w:r w:rsidRPr="006F5EB7">
        <w:rPr>
          <w:rFonts w:ascii="David" w:hAnsi="David" w:cs="David"/>
          <w:color w:val="000000"/>
          <w:rtl/>
        </w:rPr>
        <w:t xml:space="preserve"> ודחף לקפיצה מבנ</w:t>
      </w:r>
      <w:r w:rsidR="006806CE">
        <w:rPr>
          <w:rFonts w:ascii="David" w:hAnsi="David" w:cs="David" w:hint="cs"/>
          <w:color w:val="000000"/>
          <w:rtl/>
        </w:rPr>
        <w:t>י</w:t>
      </w:r>
      <w:r w:rsidRPr="006F5EB7">
        <w:rPr>
          <w:rFonts w:ascii="David" w:hAnsi="David" w:cs="David"/>
          <w:color w:val="000000"/>
          <w:rtl/>
        </w:rPr>
        <w:t>ין. מ</w:t>
      </w:r>
      <w:r w:rsidR="009364D5">
        <w:rPr>
          <w:rFonts w:ascii="David" w:hAnsi="David" w:cs="David"/>
          <w:color w:val="000000"/>
          <w:rtl/>
        </w:rPr>
        <w:t xml:space="preserve">עשי הנאשם הביאו לקריסת נפשה של </w:t>
      </w:r>
      <w:r w:rsidR="00B8665E">
        <w:rPr>
          <w:rFonts w:ascii="David" w:hAnsi="David" w:cs="David" w:hint="cs"/>
          <w:rtl/>
        </w:rPr>
        <w:t>הקטינה</w:t>
      </w:r>
      <w:r w:rsidRPr="006F5EB7">
        <w:rPr>
          <w:rFonts w:ascii="David" w:hAnsi="David" w:cs="David"/>
          <w:color w:val="000000"/>
          <w:rtl/>
        </w:rPr>
        <w:t xml:space="preserve">, ממנה לא התאוששה עד היום על אף השנים </w:t>
      </w:r>
      <w:r w:rsidR="00443816" w:rsidRPr="006F5EB7">
        <w:rPr>
          <w:rFonts w:ascii="David" w:hAnsi="David" w:cs="David"/>
          <w:color w:val="000000"/>
          <w:rtl/>
        </w:rPr>
        <w:t xml:space="preserve">שחלפו </w:t>
      </w:r>
      <w:r w:rsidRPr="006F5EB7">
        <w:rPr>
          <w:rFonts w:ascii="David" w:hAnsi="David" w:cs="David"/>
          <w:color w:val="000000"/>
          <w:rtl/>
        </w:rPr>
        <w:t xml:space="preserve">(ראו סעיפים 19-22 להכרעת הדין; סעיפים 19-20 להחלטה מיום 23.5.2022 המפרטים את המסמכים הרפואיים הרלוונטיים; טמ/1). </w:t>
      </w:r>
    </w:p>
    <w:p w:rsidR="00826272" w:rsidRPr="006F5EB7" w:rsidRDefault="00826272" w:rsidP="00B8665E">
      <w:pPr>
        <w:pStyle w:val="listparagraph"/>
        <w:bidi/>
        <w:spacing w:before="0" w:beforeAutospacing="0" w:after="0" w:afterAutospacing="0" w:line="360" w:lineRule="auto"/>
        <w:ind w:left="1440"/>
        <w:jc w:val="both"/>
        <w:rPr>
          <w:rFonts w:ascii="David" w:hAnsi="David" w:cs="David"/>
          <w:color w:val="000000"/>
          <w:rtl/>
        </w:rPr>
      </w:pPr>
      <w:r w:rsidRPr="006F5EB7">
        <w:rPr>
          <w:rFonts w:ascii="David" w:hAnsi="David" w:cs="David"/>
          <w:color w:val="000000"/>
          <w:rtl/>
        </w:rPr>
        <w:t xml:space="preserve">מעגלי ההרס והדף האירועים לא הצטמצמו לפגיעה אנושה </w:t>
      </w:r>
      <w:r w:rsidR="00B8665E">
        <w:rPr>
          <w:rFonts w:ascii="David" w:hAnsi="David" w:cs="David" w:hint="cs"/>
          <w:rtl/>
        </w:rPr>
        <w:t>בקטינה</w:t>
      </w:r>
      <w:r w:rsidRPr="006F5EB7">
        <w:rPr>
          <w:rFonts w:ascii="David" w:hAnsi="David" w:cs="David"/>
          <w:color w:val="000000"/>
          <w:rtl/>
        </w:rPr>
        <w:t xml:space="preserve"> בלבד: הוריה נאלצו להתמסר ולהתמקד בטיפול בה, תשומת לבם נגרעה מילדיהם האחרים ומהוריהם הקשישים. </w:t>
      </w:r>
      <w:r w:rsidR="004309BA">
        <w:rPr>
          <w:rFonts w:ascii="David" w:hAnsi="David" w:cs="David" w:hint="cs"/>
          <w:color w:val="000000"/>
          <w:rtl/>
        </w:rPr>
        <w:t xml:space="preserve">הוריה של </w:t>
      </w:r>
      <w:r w:rsidR="00B8665E">
        <w:rPr>
          <w:rFonts w:ascii="David" w:hAnsi="David" w:cs="David" w:hint="cs"/>
          <w:rtl/>
        </w:rPr>
        <w:t>הקטינה</w:t>
      </w:r>
      <w:r w:rsidR="004309BA">
        <w:rPr>
          <w:rFonts w:ascii="David" w:hAnsi="David" w:cs="David" w:hint="cs"/>
          <w:color w:val="000000"/>
          <w:rtl/>
        </w:rPr>
        <w:t xml:space="preserve"> נזקקים בעצמם לטיפול בעקבות תוצאות האירועים (טמ/1). </w:t>
      </w:r>
      <w:r w:rsidRPr="006F5EB7">
        <w:rPr>
          <w:rFonts w:ascii="David" w:hAnsi="David" w:cs="David"/>
          <w:color w:val="000000"/>
          <w:rtl/>
        </w:rPr>
        <w:t xml:space="preserve">הדבר הביא אף לפגיעה כלכלית </w:t>
      </w:r>
      <w:r w:rsidR="00300901">
        <w:rPr>
          <w:rFonts w:ascii="David" w:hAnsi="David" w:cs="David" w:hint="cs"/>
          <w:color w:val="000000"/>
          <w:rtl/>
        </w:rPr>
        <w:t xml:space="preserve">במשפחה </w:t>
      </w:r>
      <w:r w:rsidRPr="006F5EB7">
        <w:rPr>
          <w:rFonts w:ascii="David" w:hAnsi="David" w:cs="David"/>
          <w:color w:val="000000"/>
          <w:rtl/>
        </w:rPr>
        <w:t xml:space="preserve">בשל ירידה בהיקף עבודת אמהּ של </w:t>
      </w:r>
      <w:r w:rsidR="00B8665E">
        <w:rPr>
          <w:rFonts w:ascii="David" w:hAnsi="David" w:cs="David" w:hint="cs"/>
          <w:rtl/>
        </w:rPr>
        <w:t>הקטינה</w:t>
      </w:r>
      <w:r w:rsidRPr="006F5EB7">
        <w:rPr>
          <w:rFonts w:ascii="David" w:hAnsi="David" w:cs="David"/>
          <w:color w:val="000000"/>
          <w:rtl/>
        </w:rPr>
        <w:t xml:space="preserve"> על מנת לטפל בה</w:t>
      </w:r>
      <w:r w:rsidR="004309BA">
        <w:rPr>
          <w:rFonts w:ascii="David" w:hAnsi="David" w:cs="David" w:hint="cs"/>
          <w:color w:val="000000"/>
          <w:rtl/>
        </w:rPr>
        <w:t>,</w:t>
      </w:r>
      <w:r w:rsidRPr="006F5EB7">
        <w:rPr>
          <w:rFonts w:ascii="David" w:hAnsi="David" w:cs="David"/>
          <w:color w:val="000000"/>
          <w:rtl/>
        </w:rPr>
        <w:t xml:space="preserve"> וכן לנוכח הוצאות רבות הנדרשות עד היום לצורך הטיפול (ראו בהרחבה את מכתב אימהּ של </w:t>
      </w:r>
      <w:r w:rsidR="00B8665E">
        <w:rPr>
          <w:rFonts w:ascii="David" w:hAnsi="David" w:cs="David" w:hint="cs"/>
          <w:rtl/>
        </w:rPr>
        <w:t>הקטינה</w:t>
      </w:r>
      <w:r w:rsidRPr="006F5EB7">
        <w:rPr>
          <w:rFonts w:ascii="David" w:hAnsi="David" w:cs="David"/>
          <w:color w:val="000000"/>
          <w:rtl/>
        </w:rPr>
        <w:t xml:space="preserve"> טמ/1). </w:t>
      </w:r>
      <w:r w:rsidR="009364D5">
        <w:rPr>
          <w:rFonts w:ascii="David" w:hAnsi="David" w:cs="David" w:hint="cs"/>
          <w:color w:val="000000"/>
          <w:rtl/>
        </w:rPr>
        <w:t xml:space="preserve"> </w:t>
      </w:r>
    </w:p>
    <w:p w:rsidR="00826272" w:rsidRPr="006F5EB7" w:rsidRDefault="00826272" w:rsidP="00B8665E">
      <w:pPr>
        <w:pStyle w:val="listparagraph"/>
        <w:bidi/>
        <w:spacing w:before="0" w:beforeAutospacing="0" w:after="0" w:afterAutospacing="0" w:line="360" w:lineRule="auto"/>
        <w:ind w:left="1425" w:hanging="705"/>
        <w:jc w:val="both"/>
        <w:rPr>
          <w:rFonts w:ascii="David" w:hAnsi="David" w:cs="David"/>
          <w:color w:val="000000"/>
          <w:rtl/>
        </w:rPr>
      </w:pPr>
      <w:r w:rsidRPr="006F5EB7">
        <w:rPr>
          <w:rFonts w:ascii="David" w:hAnsi="David" w:cs="David"/>
          <w:color w:val="000000"/>
          <w:rtl/>
        </w:rPr>
        <w:t>(-)</w:t>
      </w:r>
      <w:r w:rsidRPr="006F5EB7">
        <w:rPr>
          <w:rFonts w:ascii="David" w:hAnsi="David" w:cs="David"/>
          <w:color w:val="000000"/>
          <w:rtl/>
        </w:rPr>
        <w:tab/>
      </w:r>
      <w:r w:rsidRPr="006F5EB7">
        <w:rPr>
          <w:rFonts w:ascii="David" w:hAnsi="David" w:cs="David"/>
          <w:b/>
          <w:bCs/>
          <w:color w:val="000000"/>
          <w:rtl/>
        </w:rPr>
        <w:t>ניצול לרעה של כוח הנאשם ואופי יחסיו עם הקטינה</w:t>
      </w:r>
      <w:r w:rsidRPr="006F5EB7">
        <w:rPr>
          <w:rFonts w:ascii="David" w:hAnsi="David" w:cs="David"/>
          <w:color w:val="000000"/>
          <w:rtl/>
        </w:rPr>
        <w:t xml:space="preserve">. הנאשם ניצל את גילה  הצעיר של </w:t>
      </w:r>
      <w:r w:rsidR="00B8665E">
        <w:rPr>
          <w:rFonts w:ascii="David" w:hAnsi="David" w:cs="David" w:hint="cs"/>
          <w:rtl/>
        </w:rPr>
        <w:t>הקטינה</w:t>
      </w:r>
      <w:r w:rsidRPr="006F5EB7">
        <w:rPr>
          <w:rFonts w:ascii="David" w:hAnsi="David" w:cs="David"/>
          <w:color w:val="000000"/>
          <w:rtl/>
        </w:rPr>
        <w:t xml:space="preserve">, חסרת ניסיון החיים, </w:t>
      </w:r>
      <w:r w:rsidR="0083535B">
        <w:rPr>
          <w:rFonts w:ascii="David" w:hAnsi="David" w:cs="David" w:hint="cs"/>
          <w:color w:val="000000"/>
          <w:rtl/>
        </w:rPr>
        <w:t>עת</w:t>
      </w:r>
      <w:r w:rsidRPr="006F5EB7">
        <w:rPr>
          <w:rFonts w:ascii="David" w:hAnsi="David" w:cs="David"/>
          <w:color w:val="000000"/>
          <w:rtl/>
        </w:rPr>
        <w:t xml:space="preserve"> היתה מצויה בשלבי התבגרות מוקדמים ורגישים בהם אישיותה ונפשה טרם בשלו, התעצבו והתגבשו. נתון זה מקבל משנה תוקף נוכח</w:t>
      </w:r>
      <w:r w:rsidR="009364D5">
        <w:rPr>
          <w:rFonts w:ascii="David" w:hAnsi="David" w:cs="David"/>
          <w:color w:val="000000"/>
          <w:rtl/>
        </w:rPr>
        <w:t xml:space="preserve"> הפער הגדול בין גילאי </w:t>
      </w:r>
      <w:r w:rsidR="00B8665E">
        <w:rPr>
          <w:rFonts w:ascii="David" w:hAnsi="David" w:cs="David" w:hint="cs"/>
          <w:rtl/>
        </w:rPr>
        <w:t>הקטינה</w:t>
      </w:r>
      <w:r w:rsidRPr="006F5EB7">
        <w:rPr>
          <w:rFonts w:ascii="David" w:hAnsi="David" w:cs="David"/>
          <w:color w:val="000000"/>
          <w:rtl/>
        </w:rPr>
        <w:t xml:space="preserve"> והנאשם</w:t>
      </w:r>
      <w:r w:rsidR="0083535B">
        <w:rPr>
          <w:rFonts w:ascii="David" w:hAnsi="David" w:cs="David" w:hint="cs"/>
          <w:color w:val="000000"/>
          <w:rtl/>
        </w:rPr>
        <w:t>,</w:t>
      </w:r>
      <w:r w:rsidRPr="006F5EB7">
        <w:rPr>
          <w:rFonts w:ascii="David" w:hAnsi="David" w:cs="David"/>
          <w:color w:val="000000"/>
          <w:rtl/>
        </w:rPr>
        <w:t xml:space="preserve"> אשר היה בן 50 בעת ביצוע העבירות. הנאשם ניצל לרעה נתונים אלה על מנת לתכנן את תכניתו העבריינית ולהוציאה אל הפועל, כפי שפורט לעיל (ראו בהרח</w:t>
      </w:r>
      <w:r w:rsidR="009364D5">
        <w:rPr>
          <w:rFonts w:ascii="David" w:hAnsi="David" w:cs="David"/>
          <w:color w:val="000000"/>
          <w:rtl/>
        </w:rPr>
        <w:t xml:space="preserve">בה בהכרעת הדין). פערי הגיל בין </w:t>
      </w:r>
      <w:r w:rsidR="00B8665E">
        <w:rPr>
          <w:rFonts w:ascii="David" w:hAnsi="David" w:cs="David" w:hint="cs"/>
          <w:rtl/>
        </w:rPr>
        <w:t>הקטינה</w:t>
      </w:r>
      <w:r w:rsidRPr="006F5EB7">
        <w:rPr>
          <w:rFonts w:ascii="David" w:hAnsi="David" w:cs="David"/>
          <w:color w:val="000000"/>
          <w:rtl/>
        </w:rPr>
        <w:t xml:space="preserve"> לנאשם </w:t>
      </w:r>
      <w:r w:rsidR="003F37B7">
        <w:rPr>
          <w:rFonts w:ascii="David" w:hAnsi="David" w:cs="David" w:hint="cs"/>
          <w:color w:val="000000"/>
          <w:rtl/>
        </w:rPr>
        <w:t>מוסיפים על חומרת מעשיו</w:t>
      </w:r>
      <w:r w:rsidRPr="006F5EB7">
        <w:rPr>
          <w:rFonts w:ascii="David" w:hAnsi="David" w:cs="David"/>
          <w:color w:val="000000"/>
          <w:rtl/>
        </w:rPr>
        <w:t xml:space="preserve">: </w:t>
      </w:r>
    </w:p>
    <w:p w:rsidR="00826272" w:rsidRPr="006F5EB7" w:rsidRDefault="00826272" w:rsidP="00826272">
      <w:pPr>
        <w:pStyle w:val="listparagraph"/>
        <w:bidi/>
        <w:spacing w:before="0" w:beforeAutospacing="0" w:after="0" w:afterAutospacing="0"/>
        <w:ind w:left="1928" w:right="1134"/>
        <w:jc w:val="both"/>
        <w:rPr>
          <w:rFonts w:ascii="David" w:hAnsi="David" w:cs="David"/>
          <w:b/>
          <w:bCs/>
          <w:color w:val="000000"/>
          <w:rtl/>
        </w:rPr>
      </w:pPr>
      <w:r w:rsidRPr="006F5EB7">
        <w:rPr>
          <w:rFonts w:ascii="David" w:hAnsi="David" w:cs="David"/>
          <w:color w:val="000000"/>
          <w:shd w:val="clear" w:color="auto" w:fill="FFFFFF"/>
          <w:rtl/>
        </w:rPr>
        <w:t>"</w:t>
      </w:r>
      <w:r w:rsidRPr="006F5EB7">
        <w:rPr>
          <w:rFonts w:ascii="David" w:hAnsi="David" w:cs="David"/>
          <w:b/>
          <w:bCs/>
          <w:color w:val="000000"/>
          <w:shd w:val="clear" w:color="auto" w:fill="FFFFFF"/>
          <w:rtl/>
        </w:rPr>
        <w:t>בית משפט זה עמד פעמים רבות על חומרתן הרבה של עבירות מין בקטינים, אשר מטבע הדברים מתבצעות תוך ניצול תמימותם וחוסר בגרותם. הודגש כי חומרתן של עבירות מין המבוצעות בקטינים נובעת בין היתר מיחסי הניצול הטמונים בקטינותם, וכי אופי היחסים הנובע מפער הגילים מקנה ליחסים אלה את אופיים הפלילי אף מקום בו נעשו היחסים בהסכמה</w:t>
      </w:r>
      <w:r w:rsidRPr="006F5EB7">
        <w:rPr>
          <w:rFonts w:ascii="David" w:hAnsi="David" w:cs="David"/>
          <w:color w:val="000000"/>
          <w:shd w:val="clear" w:color="auto" w:fill="FFFFFF"/>
          <w:rtl/>
        </w:rPr>
        <w:t xml:space="preserve">" (ע"פ 3428/15 </w:t>
      </w:r>
      <w:r w:rsidRPr="006F5EB7">
        <w:rPr>
          <w:rFonts w:ascii="David" w:hAnsi="David" w:cs="David"/>
          <w:b/>
          <w:bCs/>
          <w:color w:val="000000"/>
          <w:shd w:val="clear" w:color="auto" w:fill="FFFFFF"/>
          <w:rtl/>
        </w:rPr>
        <w:t>גלעד מאור נ' מדינת ישראל</w:t>
      </w:r>
      <w:r w:rsidRPr="006F5EB7">
        <w:rPr>
          <w:rFonts w:ascii="David" w:hAnsi="David" w:cs="David"/>
          <w:color w:val="000000"/>
          <w:shd w:val="clear" w:color="auto" w:fill="FFFFFF"/>
          <w:rtl/>
        </w:rPr>
        <w:t>, פ</w:t>
      </w:r>
      <w:r w:rsidR="00E430BA">
        <w:rPr>
          <w:rFonts w:ascii="David" w:hAnsi="David" w:cs="David" w:hint="cs"/>
          <w:color w:val="000000"/>
          <w:shd w:val="clear" w:color="auto" w:fill="FFFFFF"/>
          <w:rtl/>
        </w:rPr>
        <w:t>י</w:t>
      </w:r>
      <w:r w:rsidRPr="006F5EB7">
        <w:rPr>
          <w:rFonts w:ascii="David" w:hAnsi="David" w:cs="David"/>
          <w:color w:val="000000"/>
          <w:shd w:val="clear" w:color="auto" w:fill="FFFFFF"/>
          <w:rtl/>
        </w:rPr>
        <w:t>סקה 8 (14.6.2016)).</w:t>
      </w:r>
      <w:r w:rsidRPr="006F5EB7">
        <w:rPr>
          <w:rFonts w:ascii="David" w:hAnsi="David" w:cs="David"/>
          <w:b/>
          <w:bCs/>
          <w:color w:val="000000"/>
          <w:shd w:val="clear" w:color="auto" w:fill="FFFFFF"/>
          <w:rtl/>
        </w:rPr>
        <w:t xml:space="preserve">  </w:t>
      </w:r>
    </w:p>
    <w:p w:rsidR="00826272" w:rsidRPr="006F5EB7" w:rsidRDefault="00826272" w:rsidP="00826272">
      <w:pPr>
        <w:pStyle w:val="listparagraph"/>
        <w:bidi/>
        <w:spacing w:before="0" w:beforeAutospacing="0" w:after="0" w:afterAutospacing="0"/>
        <w:ind w:right="1134" w:firstLine="720"/>
        <w:jc w:val="both"/>
        <w:rPr>
          <w:rFonts w:ascii="David" w:hAnsi="David" w:cs="David"/>
          <w:color w:val="000000"/>
          <w:rtl/>
        </w:rPr>
      </w:pPr>
    </w:p>
    <w:p w:rsidR="00826272" w:rsidRPr="006F5EB7" w:rsidRDefault="00826272" w:rsidP="00826272">
      <w:pPr>
        <w:pStyle w:val="listparagraph"/>
        <w:bidi/>
        <w:spacing w:before="0" w:beforeAutospacing="0" w:after="0" w:afterAutospacing="0"/>
        <w:ind w:right="1134" w:firstLine="720"/>
        <w:jc w:val="both"/>
        <w:rPr>
          <w:rFonts w:ascii="David" w:hAnsi="David" w:cs="David"/>
          <w:color w:val="000000"/>
          <w:rtl/>
        </w:rPr>
      </w:pPr>
    </w:p>
    <w:p w:rsidR="003F37B7" w:rsidRDefault="00826272" w:rsidP="003F37B7">
      <w:pPr>
        <w:pStyle w:val="listparagraph"/>
        <w:numPr>
          <w:ilvl w:val="0"/>
          <w:numId w:val="3"/>
        </w:numPr>
        <w:bidi/>
        <w:spacing w:before="0" w:beforeAutospacing="0" w:after="0" w:afterAutospacing="0" w:line="360" w:lineRule="auto"/>
        <w:jc w:val="both"/>
        <w:rPr>
          <w:rFonts w:ascii="David" w:hAnsi="David" w:cs="David"/>
          <w:color w:val="000000"/>
        </w:rPr>
      </w:pPr>
      <w:r w:rsidRPr="006F5EB7">
        <w:rPr>
          <w:rFonts w:ascii="David" w:hAnsi="David" w:cs="David"/>
          <w:color w:val="000000"/>
          <w:rtl/>
        </w:rPr>
        <w:t xml:space="preserve">הצדדים היפנו לפסיקה ממנה ביקשו ללמוד על הענישה הנהוגה. עיון בפסקי דין אלה מעלה כי אינם משקפים נסיבות הדומות למקרה הנדון, את מידת הפגיעה בערכים המוגנים, את עומק הנזק שנגרם לקורבן העבירה, ובחלקם אף </w:t>
      </w:r>
      <w:r w:rsidR="003F37B7">
        <w:rPr>
          <w:rFonts w:ascii="David" w:hAnsi="David" w:cs="David" w:hint="cs"/>
          <w:color w:val="000000"/>
          <w:rtl/>
        </w:rPr>
        <w:t xml:space="preserve">דנו </w:t>
      </w:r>
      <w:r w:rsidRPr="006F5EB7">
        <w:rPr>
          <w:rFonts w:ascii="David" w:hAnsi="David" w:cs="David"/>
          <w:color w:val="000000"/>
          <w:rtl/>
        </w:rPr>
        <w:t xml:space="preserve">בעבירות שונות. </w:t>
      </w:r>
    </w:p>
    <w:p w:rsidR="00826272" w:rsidRPr="006F5EB7" w:rsidRDefault="00826272" w:rsidP="00B8665E">
      <w:pPr>
        <w:pStyle w:val="listparagraph"/>
        <w:bidi/>
        <w:spacing w:before="0" w:beforeAutospacing="0" w:after="0" w:afterAutospacing="0" w:line="360" w:lineRule="auto"/>
        <w:ind w:left="720"/>
        <w:jc w:val="both"/>
        <w:rPr>
          <w:rFonts w:ascii="David" w:hAnsi="David" w:cs="David"/>
          <w:color w:val="000000"/>
          <w:rtl/>
        </w:rPr>
      </w:pPr>
      <w:r w:rsidRPr="006F5EB7">
        <w:rPr>
          <w:rFonts w:ascii="David" w:hAnsi="David" w:cs="David"/>
          <w:color w:val="000000"/>
          <w:rtl/>
        </w:rPr>
        <w:lastRenderedPageBreak/>
        <w:t xml:space="preserve">ב"כ המאשימה הפנתה למספר פסקי דין שעסקו בעבירות הטרדה מינית ומעשים מגונים או בעבירות חמורות של גרם אינוס קטינה, ריבוי מתלוננות ועוד. ב"כ הנאשם צירף שני פסקי דין בלבד, מהם קשה ללמוד על "מדיניות ענישה נהוגה", בוודאי כאשר מדובר בנסיבות שונות. פסק הדין הראשון, ע"פ 1697/19, דן בעבירה אחת של בעילה אסורה בהסכמה וכן במעשה מגונה, </w:t>
      </w:r>
      <w:r w:rsidR="003F37B7">
        <w:rPr>
          <w:rFonts w:ascii="David" w:hAnsi="David" w:cs="David" w:hint="cs"/>
          <w:color w:val="000000"/>
          <w:rtl/>
        </w:rPr>
        <w:t>ו</w:t>
      </w:r>
      <w:r w:rsidRPr="006F5EB7">
        <w:rPr>
          <w:rFonts w:ascii="David" w:hAnsi="David" w:cs="David"/>
          <w:color w:val="000000"/>
          <w:rtl/>
        </w:rPr>
        <w:t xml:space="preserve">בו הוטל על הנאשם מאסר למשך 12 חודשים. באופן שונה מהמקרה </w:t>
      </w:r>
      <w:r w:rsidR="003F37B7">
        <w:rPr>
          <w:rFonts w:ascii="David" w:hAnsi="David" w:cs="David" w:hint="cs"/>
          <w:color w:val="000000"/>
          <w:rtl/>
        </w:rPr>
        <w:t>שבפני</w:t>
      </w:r>
      <w:r w:rsidRPr="006F5EB7">
        <w:rPr>
          <w:rFonts w:ascii="David" w:hAnsi="David" w:cs="David"/>
          <w:color w:val="000000"/>
          <w:rtl/>
        </w:rPr>
        <w:t xml:space="preserve">, אין מדובר בתכנון ובביצוע העבירות תחילה דרך המרשתת, תוך הצגת מצג שווא של גיל </w:t>
      </w:r>
      <w:r w:rsidR="003F37B7">
        <w:rPr>
          <w:rFonts w:ascii="David" w:hAnsi="David" w:cs="David" w:hint="cs"/>
          <w:color w:val="000000"/>
          <w:rtl/>
        </w:rPr>
        <w:t>ה</w:t>
      </w:r>
      <w:r w:rsidRPr="006F5EB7">
        <w:rPr>
          <w:rFonts w:ascii="David" w:hAnsi="David" w:cs="David"/>
          <w:color w:val="000000"/>
          <w:rtl/>
        </w:rPr>
        <w:t>צעיר מגילו האמיתי של הנאשם; מדובר במקרה אחד של בעילה אסורה בהסכמה ללא מקרה נוסף של גרם בעילה אסורה בהסכמה; הנזקים שפורטו לגבי המתלוננת אינם קרובים בחומרתם לאלה שנגרמו ל</w:t>
      </w:r>
      <w:r w:rsidR="00B8665E">
        <w:rPr>
          <w:rFonts w:ascii="David" w:hAnsi="David" w:cs="David" w:hint="cs"/>
          <w:rtl/>
        </w:rPr>
        <w:t>קטינה</w:t>
      </w:r>
      <w:r w:rsidRPr="006F5EB7">
        <w:rPr>
          <w:rFonts w:ascii="David" w:hAnsi="David" w:cs="David"/>
          <w:color w:val="000000"/>
          <w:rtl/>
        </w:rPr>
        <w:t xml:space="preserve">; מדובר בנאשם אשר הודה במיוחס לו; ניתן דגש </w:t>
      </w:r>
      <w:r w:rsidR="003F37B7">
        <w:rPr>
          <w:rFonts w:ascii="David" w:hAnsi="David" w:cs="David" w:hint="cs"/>
          <w:color w:val="000000"/>
          <w:rtl/>
        </w:rPr>
        <w:t xml:space="preserve">בעונש שהוטל </w:t>
      </w:r>
      <w:r w:rsidRPr="006F5EB7">
        <w:rPr>
          <w:rFonts w:ascii="David" w:hAnsi="David" w:cs="David"/>
          <w:color w:val="000000"/>
          <w:rtl/>
        </w:rPr>
        <w:t>להתדרדרות במצבו הנפשי והבריאותי של הנאשם</w:t>
      </w:r>
      <w:r w:rsidR="003F37B7">
        <w:rPr>
          <w:rFonts w:ascii="David" w:hAnsi="David" w:cs="David" w:hint="cs"/>
          <w:color w:val="000000"/>
          <w:rtl/>
        </w:rPr>
        <w:t>, ו</w:t>
      </w:r>
      <w:r w:rsidR="00D77D88">
        <w:rPr>
          <w:rFonts w:ascii="David" w:hAnsi="David" w:cs="David" w:hint="cs"/>
          <w:color w:val="000000"/>
          <w:rtl/>
        </w:rPr>
        <w:t>ל</w:t>
      </w:r>
      <w:r w:rsidR="003F37B7">
        <w:rPr>
          <w:rFonts w:ascii="David" w:hAnsi="David" w:cs="David" w:hint="cs"/>
          <w:color w:val="000000"/>
          <w:rtl/>
        </w:rPr>
        <w:t>נסיבותיו האישיות המורכבות</w:t>
      </w:r>
      <w:r w:rsidRPr="006F5EB7">
        <w:rPr>
          <w:rFonts w:ascii="David" w:hAnsi="David" w:cs="David"/>
          <w:color w:val="000000"/>
          <w:rtl/>
        </w:rPr>
        <w:t xml:space="preserve">. פסק הדין השני אליו היפנה הסנגור, ת"פ (שלום ת"א) 49350-06-14, דן בשתי עבירות בעילה אסורה בהסכמה וכן בעבירת מעשה מגונה בהסכמה אשר בוצעו תוך ניצול יחסי מטפל-מטופל. </w:t>
      </w:r>
      <w:r w:rsidR="003F37B7">
        <w:rPr>
          <w:rFonts w:ascii="David" w:hAnsi="David" w:cs="David" w:hint="cs"/>
          <w:color w:val="000000"/>
          <w:rtl/>
        </w:rPr>
        <w:t xml:space="preserve">אותו מקרה </w:t>
      </w:r>
      <w:r w:rsidRPr="006F5EB7">
        <w:rPr>
          <w:rFonts w:ascii="David" w:hAnsi="David" w:cs="David"/>
          <w:color w:val="000000"/>
          <w:rtl/>
        </w:rPr>
        <w:t>לא עסק בערכים המוגנים הרלוונטיים למקרה הנדון, הנובעים מהצורך להגן על נפשם הרגישה, העדינה והבלתי בשלה של קטינים, או בנסיבות המורכבות הנובעות מהאנונימיות המתאפשרת במרשתת שהובילה לתופע</w:t>
      </w:r>
      <w:r w:rsidR="005D15AA">
        <w:rPr>
          <w:rFonts w:ascii="David" w:hAnsi="David" w:cs="David" w:hint="cs"/>
          <w:color w:val="000000"/>
          <w:rtl/>
        </w:rPr>
        <w:t>ה של</w:t>
      </w:r>
      <w:r w:rsidRPr="006F5EB7">
        <w:rPr>
          <w:rFonts w:ascii="David" w:hAnsi="David" w:cs="David"/>
          <w:color w:val="000000"/>
          <w:rtl/>
        </w:rPr>
        <w:t xml:space="preserve"> פגיעות מיניות בקטינים באמצעותה.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color w:val="000000"/>
        </w:rPr>
      </w:pPr>
      <w:r w:rsidRPr="006F5EB7">
        <w:rPr>
          <w:rFonts w:ascii="David" w:hAnsi="David" w:cs="David"/>
          <w:color w:val="000000"/>
          <w:rtl/>
        </w:rPr>
        <w:t xml:space="preserve">קיים קושי לאתר מקרים בהם התקיימו אותן נסיבות של המקרה הנדון, אולם אפנה למספר פסקי דין בהם נסיבות דומות ככל הניתן, מהם ניתן ללמוד על מגמה של ענישה מחמירה: </w:t>
      </w:r>
    </w:p>
    <w:p w:rsidR="00826272" w:rsidRPr="006F5EB7" w:rsidRDefault="00826272" w:rsidP="00D77D88">
      <w:pPr>
        <w:pStyle w:val="listparagraph"/>
        <w:numPr>
          <w:ilvl w:val="0"/>
          <w:numId w:val="5"/>
        </w:numPr>
        <w:bidi/>
        <w:spacing w:before="0" w:beforeAutospacing="0" w:after="0" w:afterAutospacing="0" w:line="360" w:lineRule="auto"/>
        <w:jc w:val="both"/>
        <w:rPr>
          <w:rFonts w:ascii="David" w:hAnsi="David" w:cs="David"/>
          <w:color w:val="000000"/>
          <w:rtl/>
        </w:rPr>
      </w:pPr>
      <w:r w:rsidRPr="006F5EB7">
        <w:rPr>
          <w:rFonts w:ascii="David" w:hAnsi="David" w:cs="David"/>
          <w:color w:val="000000"/>
          <w:rtl/>
        </w:rPr>
        <w:t xml:space="preserve">רע"פ 10694/08 </w:t>
      </w:r>
      <w:r w:rsidRPr="006F5EB7">
        <w:rPr>
          <w:rFonts w:ascii="David" w:hAnsi="David" w:cs="David"/>
          <w:b/>
          <w:bCs/>
          <w:color w:val="000000"/>
          <w:rtl/>
        </w:rPr>
        <w:t xml:space="preserve">מרדכי דמתי נ' מדינת ישראל </w:t>
      </w:r>
      <w:r w:rsidRPr="006F5EB7">
        <w:rPr>
          <w:rFonts w:ascii="David" w:hAnsi="David" w:cs="David"/>
          <w:color w:val="000000"/>
          <w:rtl/>
        </w:rPr>
        <w:t>(12.4.2010),</w:t>
      </w:r>
      <w:r w:rsidRPr="006F5EB7">
        <w:rPr>
          <w:rFonts w:ascii="David" w:hAnsi="David" w:cs="David"/>
          <w:b/>
          <w:bCs/>
          <w:color w:val="000000"/>
          <w:rtl/>
        </w:rPr>
        <w:t xml:space="preserve"> </w:t>
      </w:r>
      <w:r w:rsidRPr="006F5EB7">
        <w:rPr>
          <w:rFonts w:ascii="David" w:hAnsi="David" w:cs="David"/>
          <w:color w:val="000000"/>
          <w:rtl/>
        </w:rPr>
        <w:t>בו אישר</w:t>
      </w:r>
      <w:r w:rsidRPr="006F5EB7">
        <w:rPr>
          <w:rFonts w:ascii="David" w:hAnsi="David" w:cs="David"/>
          <w:b/>
          <w:bCs/>
          <w:color w:val="000000"/>
          <w:rtl/>
        </w:rPr>
        <w:t xml:space="preserve"> </w:t>
      </w:r>
      <w:r w:rsidRPr="006F5EB7">
        <w:rPr>
          <w:rFonts w:ascii="David" w:hAnsi="David" w:cs="David"/>
          <w:color w:val="000000"/>
          <w:rtl/>
        </w:rPr>
        <w:t xml:space="preserve">בית המשפט העליון עונש של ארבע שנות מאסר אשר הוטל על נאשם שהכיר קטינה בת 15 </w:t>
      </w:r>
      <w:r w:rsidR="00D77D88">
        <w:rPr>
          <w:rFonts w:ascii="David" w:hAnsi="David" w:cs="David" w:hint="cs"/>
          <w:color w:val="000000"/>
          <w:rtl/>
        </w:rPr>
        <w:t>במרשתת</w:t>
      </w:r>
      <w:r w:rsidRPr="006F5EB7">
        <w:rPr>
          <w:rFonts w:ascii="David" w:hAnsi="David" w:cs="David"/>
          <w:color w:val="000000"/>
          <w:rtl/>
        </w:rPr>
        <w:t>, קיים א</w:t>
      </w:r>
      <w:r w:rsidR="009464DD">
        <w:rPr>
          <w:rFonts w:ascii="David" w:hAnsi="David" w:cs="David" w:hint="cs"/>
          <w:color w:val="000000"/>
          <w:rtl/>
        </w:rPr>
        <w:t>י</w:t>
      </w:r>
      <w:r w:rsidRPr="006F5EB7">
        <w:rPr>
          <w:rFonts w:ascii="David" w:hAnsi="David" w:cs="David"/>
          <w:color w:val="000000"/>
          <w:rtl/>
        </w:rPr>
        <w:t xml:space="preserve">תה יחסי מין בהסכמה וביצע בה מעשה סדום. </w:t>
      </w:r>
    </w:p>
    <w:p w:rsidR="00826272" w:rsidRPr="006F5EB7" w:rsidRDefault="00826272" w:rsidP="005D15AA">
      <w:pPr>
        <w:pStyle w:val="listparagraph"/>
        <w:numPr>
          <w:ilvl w:val="0"/>
          <w:numId w:val="5"/>
        </w:numPr>
        <w:bidi/>
        <w:spacing w:before="0" w:beforeAutospacing="0" w:after="0" w:afterAutospacing="0" w:line="360" w:lineRule="auto"/>
        <w:jc w:val="both"/>
        <w:rPr>
          <w:rFonts w:ascii="David" w:hAnsi="David" w:cs="David"/>
          <w:color w:val="000000"/>
        </w:rPr>
      </w:pPr>
      <w:r w:rsidRPr="006F5EB7">
        <w:rPr>
          <w:rFonts w:ascii="David" w:hAnsi="David" w:cs="David"/>
          <w:color w:val="000000"/>
          <w:rtl/>
        </w:rPr>
        <w:t xml:space="preserve">רע"פ 7296/16 </w:t>
      </w:r>
      <w:r w:rsidRPr="006F5EB7">
        <w:rPr>
          <w:rFonts w:ascii="David" w:hAnsi="David" w:cs="David"/>
          <w:b/>
          <w:bCs/>
          <w:color w:val="000000"/>
          <w:rtl/>
        </w:rPr>
        <w:t xml:space="preserve">פלוני נ' מדינת ישראל </w:t>
      </w:r>
      <w:r w:rsidRPr="006F5EB7">
        <w:rPr>
          <w:rFonts w:ascii="David" w:hAnsi="David" w:cs="David"/>
          <w:color w:val="000000"/>
          <w:rtl/>
        </w:rPr>
        <w:t>(21.9.2016), אשר דן בעבירות נסיון בעילה אסורה בהסכמה וכן בביצוע מעשה סדום (מין אוראלי) בקטינה בת 14 אותה הכיר הנאשם בעת שביקרה בבית אחותה של בת זוגו. על הנאשם, נעדר עבר פלילי, הוטל עונש של 20 חודשי מאסר, אשר אושר בב</w:t>
      </w:r>
      <w:r w:rsidR="005D15AA">
        <w:rPr>
          <w:rFonts w:ascii="David" w:hAnsi="David" w:cs="David" w:hint="cs"/>
          <w:color w:val="000000"/>
          <w:rtl/>
        </w:rPr>
        <w:t>י</w:t>
      </w:r>
      <w:r w:rsidRPr="006F5EB7">
        <w:rPr>
          <w:rFonts w:ascii="David" w:hAnsi="David" w:cs="David"/>
          <w:color w:val="000000"/>
          <w:rtl/>
        </w:rPr>
        <w:t xml:space="preserve">ת משפט המחוזי </w:t>
      </w:r>
      <w:r w:rsidR="005D15AA">
        <w:rPr>
          <w:rFonts w:ascii="David" w:hAnsi="David" w:cs="David" w:hint="cs"/>
          <w:color w:val="000000"/>
          <w:rtl/>
        </w:rPr>
        <w:t>ובבית המשפט ה</w:t>
      </w:r>
      <w:r w:rsidRPr="006F5EB7">
        <w:rPr>
          <w:rFonts w:ascii="David" w:hAnsi="David" w:cs="David"/>
          <w:color w:val="000000"/>
          <w:rtl/>
        </w:rPr>
        <w:t xml:space="preserve">עליון. אותו מקרה לא עסק בביצוע עבירה מאחורי חשכת המרשתת, כפי שאירע בחלק משמעותי של המקרה </w:t>
      </w:r>
      <w:r w:rsidR="005D15AA">
        <w:rPr>
          <w:rFonts w:ascii="David" w:hAnsi="David" w:cs="David" w:hint="cs"/>
          <w:color w:val="000000"/>
          <w:rtl/>
        </w:rPr>
        <w:t>שבפני</w:t>
      </w:r>
      <w:r w:rsidRPr="006F5EB7">
        <w:rPr>
          <w:rFonts w:ascii="David" w:hAnsi="David" w:cs="David"/>
          <w:color w:val="000000"/>
          <w:rtl/>
        </w:rPr>
        <w:t xml:space="preserve">. </w:t>
      </w:r>
    </w:p>
    <w:p w:rsidR="00826272" w:rsidRPr="006F5EB7" w:rsidRDefault="00826272" w:rsidP="005D15AA">
      <w:pPr>
        <w:pStyle w:val="listparagraph"/>
        <w:numPr>
          <w:ilvl w:val="0"/>
          <w:numId w:val="5"/>
        </w:numPr>
        <w:bidi/>
        <w:spacing w:before="0" w:beforeAutospacing="0" w:after="120" w:afterAutospacing="0" w:line="360" w:lineRule="auto"/>
        <w:jc w:val="both"/>
        <w:rPr>
          <w:rFonts w:ascii="David" w:hAnsi="David" w:cs="David"/>
        </w:rPr>
      </w:pPr>
      <w:r w:rsidRPr="006F5EB7">
        <w:rPr>
          <w:rFonts w:ascii="David" w:hAnsi="David" w:cs="David"/>
          <w:color w:val="000000"/>
          <w:rtl/>
        </w:rPr>
        <w:t xml:space="preserve">ע"פ 37099-10-18 (מחוזי ירושלים) </w:t>
      </w:r>
      <w:r w:rsidRPr="006F5EB7">
        <w:rPr>
          <w:rFonts w:ascii="David" w:hAnsi="David" w:cs="David"/>
          <w:b/>
          <w:bCs/>
          <w:color w:val="000000"/>
          <w:rtl/>
        </w:rPr>
        <w:t>פלוני נ' מדינת ישראל</w:t>
      </w:r>
      <w:r w:rsidRPr="006F5EB7">
        <w:rPr>
          <w:rFonts w:ascii="David" w:hAnsi="David" w:cs="David"/>
          <w:color w:val="000000"/>
          <w:rtl/>
        </w:rPr>
        <w:t xml:space="preserve"> (10.12.2018) (לא פורסם), עסק בעבירות בעילה אסורה בהסכמה, נסיון בעילה אסורה בהסכמה ומעשה סדום, ו</w:t>
      </w:r>
      <w:r w:rsidR="00D77D88">
        <w:rPr>
          <w:rFonts w:ascii="David" w:hAnsi="David" w:cs="David" w:hint="cs"/>
          <w:color w:val="000000"/>
          <w:rtl/>
        </w:rPr>
        <w:t xml:space="preserve">כן </w:t>
      </w:r>
      <w:r w:rsidRPr="006F5EB7">
        <w:rPr>
          <w:rFonts w:ascii="David" w:hAnsi="David" w:cs="David"/>
          <w:color w:val="000000"/>
          <w:rtl/>
        </w:rPr>
        <w:t>החזקת חומרי תועבה. הנאשם באותו מקרה הכיר את המתלוננת באמצעות חדרי שיחו</w:t>
      </w:r>
      <w:r w:rsidR="005D15AA">
        <w:rPr>
          <w:rFonts w:ascii="David" w:hAnsi="David" w:cs="David" w:hint="cs"/>
          <w:color w:val="000000"/>
          <w:rtl/>
        </w:rPr>
        <w:t>ּ</w:t>
      </w:r>
      <w:r w:rsidRPr="006F5EB7">
        <w:rPr>
          <w:rFonts w:ascii="David" w:hAnsi="David" w:cs="David"/>
          <w:color w:val="000000"/>
          <w:rtl/>
        </w:rPr>
        <w:t xml:space="preserve">ח במרשתת, והורשע </w:t>
      </w:r>
      <w:r w:rsidR="005D15AA">
        <w:rPr>
          <w:rFonts w:ascii="David" w:hAnsi="David" w:cs="David" w:hint="cs"/>
          <w:color w:val="000000"/>
          <w:rtl/>
        </w:rPr>
        <w:t xml:space="preserve">בעבירות לאחר שנקבע כי </w:t>
      </w:r>
      <w:r w:rsidRPr="006F5EB7">
        <w:rPr>
          <w:rFonts w:ascii="David" w:hAnsi="David" w:cs="David"/>
          <w:color w:val="000000"/>
          <w:rtl/>
        </w:rPr>
        <w:t xml:space="preserve">סבר </w:t>
      </w:r>
      <w:r w:rsidR="005D15AA">
        <w:rPr>
          <w:rFonts w:ascii="David" w:hAnsi="David" w:cs="David" w:hint="cs"/>
          <w:color w:val="000000"/>
          <w:rtl/>
        </w:rPr>
        <w:t>ש</w:t>
      </w:r>
      <w:r w:rsidRPr="006F5EB7">
        <w:rPr>
          <w:rFonts w:ascii="David" w:hAnsi="David" w:cs="David"/>
          <w:color w:val="000000"/>
          <w:rtl/>
        </w:rPr>
        <w:t xml:space="preserve">גילה הוא 14 </w:t>
      </w:r>
      <w:r w:rsidR="005D15AA">
        <w:rPr>
          <w:rFonts w:ascii="David" w:hAnsi="David" w:cs="David" w:hint="cs"/>
          <w:color w:val="000000"/>
          <w:rtl/>
        </w:rPr>
        <w:t>(</w:t>
      </w:r>
      <w:r w:rsidRPr="006F5EB7">
        <w:rPr>
          <w:rFonts w:ascii="David" w:hAnsi="David" w:cs="David"/>
          <w:color w:val="000000"/>
          <w:rtl/>
        </w:rPr>
        <w:t>על אף שגילה בפועל היה 13</w:t>
      </w:r>
      <w:r w:rsidR="005D15AA">
        <w:rPr>
          <w:rFonts w:ascii="David" w:hAnsi="David" w:cs="David" w:hint="cs"/>
          <w:color w:val="000000"/>
          <w:rtl/>
        </w:rPr>
        <w:t>)</w:t>
      </w:r>
      <w:r w:rsidRPr="006F5EB7">
        <w:rPr>
          <w:rFonts w:ascii="David" w:hAnsi="David" w:cs="David"/>
          <w:color w:val="000000"/>
          <w:rtl/>
        </w:rPr>
        <w:t xml:space="preserve">. בית המשפט המחוזי אישר עונש של 40 חודשי מאסר שהוטלו על הנאשם בבית משפט השלום.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color w:val="000000"/>
        </w:rPr>
      </w:pPr>
      <w:r w:rsidRPr="006F5EB7">
        <w:rPr>
          <w:rFonts w:ascii="David" w:hAnsi="David" w:cs="David"/>
          <w:color w:val="000000"/>
          <w:rtl/>
        </w:rPr>
        <w:t>בית המשפט העליון הדגיש את הצורך בהחמרת מדיניות הענישה בגין עבירות מין, במיוחד כשמדובר בפגיעה בקטינים, וציין אך לאחרונה כי "</w:t>
      </w:r>
      <w:r w:rsidRPr="006F5EB7">
        <w:rPr>
          <w:rFonts w:ascii="David" w:hAnsi="David" w:cs="David"/>
          <w:b/>
          <w:bCs/>
          <w:color w:val="000000"/>
          <w:rtl/>
        </w:rPr>
        <w:t xml:space="preserve">חלה תמורה במדיניות הענישה בעבירות מין בשנים האחרונות, כך שהמדיניות הנוהגת כיום מחמירה מזו שנהגה בעבר, בייחוד במקרים שבהם נפגע העבירה הוא קטין... על כן, יש לבחון את טענות הצדדים </w:t>
      </w:r>
      <w:r w:rsidRPr="006F5EB7">
        <w:rPr>
          <w:rFonts w:ascii="David" w:hAnsi="David" w:cs="David"/>
          <w:b/>
          <w:bCs/>
          <w:color w:val="000000"/>
          <w:rtl/>
        </w:rPr>
        <w:lastRenderedPageBreak/>
        <w:t>לעניין העונש בראי מגמה זו</w:t>
      </w:r>
      <w:r w:rsidRPr="006F5EB7">
        <w:rPr>
          <w:rFonts w:ascii="David" w:hAnsi="David" w:cs="David"/>
          <w:color w:val="000000"/>
          <w:rtl/>
        </w:rPr>
        <w:t xml:space="preserve">" (ע"פ 766/21 </w:t>
      </w:r>
      <w:r w:rsidRPr="006F5EB7">
        <w:rPr>
          <w:rFonts w:ascii="David" w:hAnsi="David" w:cs="David"/>
          <w:b/>
          <w:bCs/>
          <w:color w:val="000000"/>
          <w:rtl/>
        </w:rPr>
        <w:t>חליל רביעה נ' מדינת ישראל</w:t>
      </w:r>
      <w:r w:rsidRPr="006F5EB7">
        <w:rPr>
          <w:rFonts w:ascii="David" w:hAnsi="David" w:cs="David"/>
          <w:color w:val="000000"/>
          <w:rtl/>
        </w:rPr>
        <w:t>, פ</w:t>
      </w:r>
      <w:r w:rsidR="00E430BA">
        <w:rPr>
          <w:rFonts w:ascii="David" w:hAnsi="David" w:cs="David" w:hint="cs"/>
          <w:color w:val="000000"/>
          <w:rtl/>
        </w:rPr>
        <w:t>י</w:t>
      </w:r>
      <w:r w:rsidRPr="006F5EB7">
        <w:rPr>
          <w:rFonts w:ascii="David" w:hAnsi="David" w:cs="David"/>
          <w:color w:val="000000"/>
          <w:rtl/>
        </w:rPr>
        <w:t xml:space="preserve">סקה 41 (23.2.2023) והאסמכתאות שם).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color w:val="000000"/>
          <w:rtl/>
        </w:rPr>
      </w:pPr>
    </w:p>
    <w:p w:rsidR="00826272" w:rsidRPr="006F5EB7" w:rsidRDefault="00826272" w:rsidP="00826272">
      <w:pPr>
        <w:pStyle w:val="listparagraph"/>
        <w:bidi/>
        <w:spacing w:before="0" w:beforeAutospacing="0" w:after="0" w:afterAutospacing="0" w:line="360" w:lineRule="auto"/>
        <w:ind w:left="720"/>
        <w:jc w:val="both"/>
        <w:rPr>
          <w:rFonts w:ascii="David" w:eastAsiaTheme="minorHAnsi" w:hAnsi="David" w:cs="David"/>
          <w:rtl/>
        </w:rPr>
      </w:pPr>
      <w:r w:rsidRPr="006F5EB7">
        <w:rPr>
          <w:rFonts w:ascii="David" w:hAnsi="David" w:cs="David"/>
          <w:color w:val="000000"/>
          <w:rtl/>
        </w:rPr>
        <w:t xml:space="preserve">יש לחדד כי אין זהות בין מתחם העונש ההולם, המגלם הכרעה ערכית המבוססת על שיקולים שונים, ובין מדיניות הענישה הנוהגת המהווה אך את אחד משיקולים אלה: </w:t>
      </w:r>
    </w:p>
    <w:p w:rsidR="00826272" w:rsidRPr="006F5EB7" w:rsidRDefault="00826272" w:rsidP="00826272">
      <w:pPr>
        <w:pStyle w:val="listparagraph"/>
        <w:bidi/>
        <w:spacing w:before="0" w:beforeAutospacing="0" w:after="0" w:afterAutospacing="0"/>
        <w:ind w:left="1361" w:right="1134"/>
        <w:jc w:val="both"/>
        <w:rPr>
          <w:rFonts w:ascii="David" w:hAnsi="David" w:cs="David"/>
          <w:b/>
          <w:bCs/>
          <w:rtl/>
        </w:rPr>
      </w:pPr>
      <w:r w:rsidRPr="006F5EB7">
        <w:rPr>
          <w:rFonts w:ascii="David" w:hAnsi="David" w:cs="David"/>
          <w:rtl/>
        </w:rPr>
        <w:t>"</w:t>
      </w:r>
      <w:r w:rsidRPr="006F5EB7">
        <w:rPr>
          <w:rFonts w:ascii="David" w:hAnsi="David" w:cs="David"/>
          <w:b/>
          <w:bCs/>
          <w:rtl/>
        </w:rPr>
        <w:t>מדיניות הענישה הינה אך אחד הפרמטרים בהם מסתייע בית המשפט לעיצוב המתחם וכמתבקש גזירת העונש בגדרו...</w:t>
      </w:r>
      <w:r w:rsidRPr="006F5EB7">
        <w:rPr>
          <w:rFonts w:ascii="David" w:hAnsi="David" w:cs="David"/>
          <w:b/>
          <w:bCs/>
        </w:rPr>
        <w:t xml:space="preserve"> </w:t>
      </w:r>
      <w:r w:rsidRPr="006F5EB7">
        <w:rPr>
          <w:rFonts w:ascii="David" w:hAnsi="David" w:cs="David"/>
          <w:b/>
          <w:bCs/>
          <w:rtl/>
        </w:rPr>
        <w:t>ידוע הוא שמלאכת גזירת הדין איננה מלאכה חישובית של הצבת נתונים במשוואות, כי אם מלאכת מחשבת, שנגזרת ממידת הפגיעה בערך המוגן ומנסיבותיו של כל מקרה ומקרה, הן בהתייחס לנסיבות העושה והן בהתייחס לנסיבות המעשה, שקלא וטריא שנוצקים לתוכה שיקולים ערכיים שלעולם אינם מתמצים בתחשיבים אריתמטיים.</w:t>
      </w:r>
      <w:r w:rsidRPr="006F5EB7">
        <w:rPr>
          <w:rFonts w:ascii="David" w:hAnsi="David" w:cs="David"/>
          <w:rtl/>
        </w:rPr>
        <w:t>"</w:t>
      </w:r>
      <w:r w:rsidRPr="006F5EB7">
        <w:rPr>
          <w:rFonts w:ascii="David" w:hAnsi="David" w:cs="David"/>
          <w:b/>
          <w:bCs/>
          <w:rtl/>
        </w:rPr>
        <w:t xml:space="preserve"> </w:t>
      </w:r>
    </w:p>
    <w:p w:rsidR="00826272" w:rsidRPr="006F5EB7" w:rsidRDefault="00826272" w:rsidP="00826272">
      <w:pPr>
        <w:pStyle w:val="listparagraph"/>
        <w:bidi/>
        <w:spacing w:before="0" w:beforeAutospacing="0" w:after="0" w:afterAutospacing="0"/>
        <w:ind w:left="1361" w:right="1134"/>
        <w:jc w:val="both"/>
        <w:rPr>
          <w:rFonts w:ascii="David" w:hAnsi="David" w:cs="David"/>
          <w:b/>
          <w:bCs/>
          <w:rtl/>
        </w:rPr>
      </w:pPr>
      <w:r w:rsidRPr="006F5EB7">
        <w:rPr>
          <w:rFonts w:ascii="David" w:hAnsi="David" w:cs="David"/>
          <w:rtl/>
        </w:rPr>
        <w:t>(ע"פ 6390/20</w:t>
      </w:r>
      <w:r w:rsidRPr="006F5EB7">
        <w:rPr>
          <w:rFonts w:ascii="David" w:hAnsi="David" w:cs="David"/>
          <w:b/>
          <w:bCs/>
          <w:rtl/>
        </w:rPr>
        <w:t xml:space="preserve"> מדינת ישראל נ' פלוני</w:t>
      </w:r>
      <w:r w:rsidRPr="006F5EB7">
        <w:rPr>
          <w:rFonts w:ascii="David" w:hAnsi="David" w:cs="David"/>
          <w:rtl/>
        </w:rPr>
        <w:t>, פ</w:t>
      </w:r>
      <w:r w:rsidR="00E430BA">
        <w:rPr>
          <w:rFonts w:ascii="David" w:hAnsi="David" w:cs="David" w:hint="cs"/>
          <w:rtl/>
        </w:rPr>
        <w:t>י</w:t>
      </w:r>
      <w:r w:rsidRPr="006F5EB7">
        <w:rPr>
          <w:rFonts w:ascii="David" w:hAnsi="David" w:cs="David"/>
          <w:rtl/>
        </w:rPr>
        <w:t>סקה 9 (10.2.2021). ראו עוד בענ</w:t>
      </w:r>
      <w:r w:rsidR="006806CE">
        <w:rPr>
          <w:rFonts w:ascii="David" w:hAnsi="David" w:cs="David" w:hint="cs"/>
          <w:rtl/>
        </w:rPr>
        <w:t>י</w:t>
      </w:r>
      <w:r w:rsidRPr="006F5EB7">
        <w:rPr>
          <w:rFonts w:ascii="David" w:hAnsi="David" w:cs="David"/>
          <w:rtl/>
        </w:rPr>
        <w:t xml:space="preserve">ין זה, ע"פ 322/16 </w:t>
      </w:r>
      <w:r w:rsidRPr="006F5EB7">
        <w:rPr>
          <w:rFonts w:ascii="David" w:hAnsi="David" w:cs="David"/>
          <w:b/>
          <w:bCs/>
          <w:rtl/>
        </w:rPr>
        <w:t>פלוני נ' מדינת ישראל</w:t>
      </w:r>
      <w:r w:rsidRPr="006F5EB7">
        <w:rPr>
          <w:rFonts w:ascii="David" w:hAnsi="David" w:cs="David"/>
          <w:rtl/>
        </w:rPr>
        <w:t>,</w:t>
      </w:r>
      <w:r w:rsidRPr="006F5EB7">
        <w:rPr>
          <w:rFonts w:ascii="David" w:hAnsi="David" w:cs="David"/>
          <w:b/>
          <w:bCs/>
          <w:rtl/>
        </w:rPr>
        <w:t xml:space="preserve"> </w:t>
      </w:r>
      <w:r w:rsidRPr="006F5EB7">
        <w:rPr>
          <w:rFonts w:ascii="David" w:hAnsi="David" w:cs="David"/>
          <w:rtl/>
        </w:rPr>
        <w:t>פ</w:t>
      </w:r>
      <w:r w:rsidR="00E430BA">
        <w:rPr>
          <w:rFonts w:ascii="David" w:hAnsi="David" w:cs="David" w:hint="cs"/>
          <w:rtl/>
        </w:rPr>
        <w:t>י</w:t>
      </w:r>
      <w:r w:rsidRPr="006F5EB7">
        <w:rPr>
          <w:rFonts w:ascii="David" w:hAnsi="David" w:cs="David"/>
          <w:rtl/>
        </w:rPr>
        <w:t>סקה 5 (9.10.2016)).</w:t>
      </w:r>
      <w:r w:rsidRPr="006F5EB7">
        <w:rPr>
          <w:rFonts w:ascii="David" w:hAnsi="David" w:cs="David"/>
          <w:b/>
          <w:bCs/>
          <w:rtl/>
        </w:rPr>
        <w:t xml:space="preserve"> </w:t>
      </w:r>
    </w:p>
    <w:p w:rsidR="00826272" w:rsidRPr="006F5EB7" w:rsidRDefault="00826272" w:rsidP="00826272">
      <w:pPr>
        <w:pStyle w:val="listparagraph"/>
        <w:bidi/>
        <w:spacing w:before="0" w:beforeAutospacing="0" w:after="0" w:afterAutospacing="0"/>
        <w:ind w:left="720" w:right="1134"/>
        <w:jc w:val="both"/>
        <w:rPr>
          <w:rFonts w:ascii="David" w:hAnsi="David" w:cs="David"/>
          <w:b/>
          <w:bCs/>
          <w:rtl/>
        </w:rPr>
      </w:pPr>
    </w:p>
    <w:p w:rsidR="00826272" w:rsidRPr="006F5EB7" w:rsidRDefault="00826272" w:rsidP="00B8665E">
      <w:pPr>
        <w:pStyle w:val="listparagraph"/>
        <w:numPr>
          <w:ilvl w:val="0"/>
          <w:numId w:val="3"/>
        </w:numPr>
        <w:bidi/>
        <w:spacing w:before="0" w:beforeAutospacing="0" w:after="0" w:afterAutospacing="0" w:line="360" w:lineRule="auto"/>
        <w:jc w:val="both"/>
        <w:rPr>
          <w:rFonts w:ascii="David" w:hAnsi="David" w:cs="David"/>
          <w:rtl/>
        </w:rPr>
      </w:pPr>
      <w:r w:rsidRPr="006F5EB7">
        <w:rPr>
          <w:rFonts w:ascii="David" w:hAnsi="David" w:cs="David"/>
          <w:rtl/>
        </w:rPr>
        <w:t>בהתאם לעקרון ההלימה המנח</w:t>
      </w:r>
      <w:r w:rsidR="005D15AA">
        <w:rPr>
          <w:rFonts w:ascii="David" w:hAnsi="David" w:cs="David" w:hint="cs"/>
          <w:rtl/>
        </w:rPr>
        <w:t>ֶ</w:t>
      </w:r>
      <w:r w:rsidRPr="006F5EB7">
        <w:rPr>
          <w:rFonts w:ascii="David" w:hAnsi="David" w:cs="David"/>
          <w:rtl/>
        </w:rPr>
        <w:t>ה, בהתחשב במידת אשמו של הנאשם, בחומרת מעשיו בנסיבותיהם, בערכים המוגנים שנפגעו ו</w:t>
      </w:r>
      <w:r w:rsidR="005D15AA">
        <w:rPr>
          <w:rFonts w:ascii="David" w:hAnsi="David" w:cs="David" w:hint="cs"/>
          <w:rtl/>
        </w:rPr>
        <w:t>ב</w:t>
      </w:r>
      <w:r w:rsidRPr="006F5EB7">
        <w:rPr>
          <w:rFonts w:ascii="David" w:hAnsi="David" w:cs="David"/>
          <w:rtl/>
        </w:rPr>
        <w:t>מידת הפגיעה הגבוהה בהם, בפסיקה הנהוגה, ותוך מתן דגש על מידת הנזק שנגרם ל</w:t>
      </w:r>
      <w:r w:rsidR="00B8665E">
        <w:rPr>
          <w:rFonts w:ascii="David" w:hAnsi="David" w:cs="David" w:hint="cs"/>
          <w:rtl/>
        </w:rPr>
        <w:t>קטינה</w:t>
      </w:r>
      <w:r w:rsidRPr="006F5EB7">
        <w:rPr>
          <w:rFonts w:ascii="David" w:hAnsi="David" w:cs="David"/>
          <w:rtl/>
        </w:rPr>
        <w:t xml:space="preserve"> - אני קובע כי מתחם הענישה במקרה זה נע בין מאסר למשך 20 חודשים ועד ל-60 חודשים, לצד מאסר מותנה ופיצוי.</w:t>
      </w:r>
    </w:p>
    <w:p w:rsidR="00826272" w:rsidRPr="006F5EB7" w:rsidRDefault="00826272" w:rsidP="00826272">
      <w:pPr>
        <w:pStyle w:val="listparagraph"/>
        <w:bidi/>
        <w:spacing w:before="0" w:beforeAutospacing="0" w:after="0" w:afterAutospacing="0" w:line="360" w:lineRule="auto"/>
        <w:ind w:left="360"/>
        <w:jc w:val="both"/>
        <w:rPr>
          <w:rFonts w:ascii="David" w:hAnsi="David" w:cs="David"/>
        </w:rPr>
      </w:pPr>
    </w:p>
    <w:p w:rsidR="00826272" w:rsidRPr="006F5EB7" w:rsidRDefault="00826272" w:rsidP="00826272">
      <w:pPr>
        <w:pStyle w:val="listparagraph"/>
        <w:bidi/>
        <w:spacing w:before="0" w:beforeAutospacing="0" w:after="0" w:afterAutospacing="0" w:line="360" w:lineRule="auto"/>
        <w:jc w:val="both"/>
        <w:rPr>
          <w:rFonts w:ascii="David" w:hAnsi="David" w:cs="David"/>
          <w:u w:val="single"/>
          <w:rtl/>
        </w:rPr>
      </w:pPr>
      <w:r w:rsidRPr="006F5EB7">
        <w:rPr>
          <w:rFonts w:ascii="David" w:hAnsi="David" w:cs="David"/>
          <w:u w:val="single"/>
          <w:rtl/>
        </w:rPr>
        <w:t>העונש המתאים</w:t>
      </w:r>
    </w:p>
    <w:p w:rsidR="00826272" w:rsidRPr="006F5EB7" w:rsidRDefault="00826272" w:rsidP="005B7B3C">
      <w:pPr>
        <w:pStyle w:val="listparagraph"/>
        <w:numPr>
          <w:ilvl w:val="0"/>
          <w:numId w:val="3"/>
        </w:numPr>
        <w:bidi/>
        <w:spacing w:before="0" w:beforeAutospacing="0" w:after="0" w:afterAutospacing="0" w:line="360" w:lineRule="auto"/>
        <w:jc w:val="both"/>
        <w:rPr>
          <w:rFonts w:ascii="David" w:hAnsi="David" w:cs="David"/>
          <w:rtl/>
        </w:rPr>
      </w:pPr>
      <w:r w:rsidRPr="006F5EB7">
        <w:rPr>
          <w:rFonts w:ascii="David" w:hAnsi="David" w:cs="David"/>
          <w:rtl/>
        </w:rPr>
        <w:t xml:space="preserve">הנאשם יליד 1967, ללא הרשעות קודמות בעברו, גרוש ואב לשני ילדים. יש לתת משקל לכך שזוהי הסתבכותו הראשונה בפלילים, וכן להתחשב בכך שריצוי מאסר בגילו ובמצבו הרפואי, לראשונה בחייו, הוא בעל השפעה משמעותית עליו (ראו התייחסות למצבו הרפואי בהמשך). </w:t>
      </w:r>
    </w:p>
    <w:p w:rsidR="00304E32" w:rsidRPr="006F5EB7" w:rsidRDefault="00826272" w:rsidP="005B7B3C">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 xml:space="preserve">הנאשם </w:t>
      </w:r>
      <w:r w:rsidR="00304E32" w:rsidRPr="006F5EB7">
        <w:rPr>
          <w:rFonts w:ascii="David" w:hAnsi="David" w:cs="David"/>
          <w:rtl/>
        </w:rPr>
        <w:t xml:space="preserve">החליט </w:t>
      </w:r>
      <w:r w:rsidRPr="006F5EB7">
        <w:rPr>
          <w:rFonts w:ascii="David" w:hAnsi="David" w:cs="David"/>
          <w:rtl/>
        </w:rPr>
        <w:t xml:space="preserve">לכפור בעבירות שיוחסו לו ולנהל הוכחות. לפיכך, לא ניתן לזקוף לזכותו נטילת אחריות, נסיון לפצות על הנזק הכבד שגרם, או מאמץ כלשהו לחזור למוטב. למעשה, הנאשם לא עבר במשך שנים מאז ביצוע העבירות כל נסיון לבחון את הרקע שהביאו לבצע את המעשים הנלוזים בהם הורשע, בין אם טיפולי ובין אם אחר, ולא הצביע על ראשית הפנמה או הבנה של הפסול שבמעשיו. אין להחמיר עם הנאשם על שדרש כי תוכח אשמתו ואין לזקוף לחובתו נתונים אלה, אולם היה בכוחם לשמש לזכותו ככל שהיו מתקיימים. בנסיבות אלה, כאשר לא ניתן משקל לחובת הנאשם בשל </w:t>
      </w:r>
      <w:r w:rsidR="005B7B3C">
        <w:rPr>
          <w:rFonts w:ascii="David" w:hAnsi="David" w:cs="David" w:hint="cs"/>
          <w:rtl/>
        </w:rPr>
        <w:t>ה</w:t>
      </w:r>
      <w:r w:rsidRPr="006F5EB7">
        <w:rPr>
          <w:rFonts w:ascii="David" w:hAnsi="David" w:cs="David"/>
          <w:rtl/>
        </w:rPr>
        <w:t xml:space="preserve">נתונים </w:t>
      </w:r>
      <w:r w:rsidR="005B7B3C">
        <w:rPr>
          <w:rFonts w:ascii="David" w:hAnsi="David" w:cs="David" w:hint="cs"/>
          <w:rtl/>
        </w:rPr>
        <w:t>כאמור</w:t>
      </w:r>
      <w:r w:rsidRPr="006F5EB7">
        <w:rPr>
          <w:rFonts w:ascii="David" w:hAnsi="David" w:cs="David"/>
          <w:rtl/>
        </w:rPr>
        <w:t>, ולאור סוג העונש שיש להטיל עליו, לא ראיתי לנכון להיעתר לבקשת ב"כ הנאשם לקבלת הערכת מסוכנות בעניינו (ראו לענ</w:t>
      </w:r>
      <w:r w:rsidR="006806CE">
        <w:rPr>
          <w:rFonts w:ascii="David" w:hAnsi="David" w:cs="David" w:hint="cs"/>
          <w:rtl/>
        </w:rPr>
        <w:t>י</w:t>
      </w:r>
      <w:r w:rsidRPr="006F5EB7">
        <w:rPr>
          <w:rFonts w:ascii="David" w:hAnsi="David" w:cs="David"/>
          <w:rtl/>
        </w:rPr>
        <w:t>ין זה</w:t>
      </w:r>
      <w:r w:rsidR="006806CE">
        <w:rPr>
          <w:rFonts w:ascii="David" w:hAnsi="David" w:cs="David" w:hint="cs"/>
          <w:rtl/>
        </w:rPr>
        <w:t>,</w:t>
      </w:r>
      <w:r w:rsidRPr="006F5EB7">
        <w:rPr>
          <w:rFonts w:ascii="David" w:hAnsi="David" w:cs="David"/>
          <w:rtl/>
        </w:rPr>
        <w:t xml:space="preserve"> רע"פ 5606/19 </w:t>
      </w:r>
      <w:r w:rsidRPr="006F5EB7">
        <w:rPr>
          <w:rFonts w:ascii="David" w:hAnsi="David" w:cs="David"/>
          <w:b/>
          <w:bCs/>
          <w:rtl/>
        </w:rPr>
        <w:t xml:space="preserve">פלוני נ' מדינת ישראל </w:t>
      </w:r>
      <w:r w:rsidRPr="006F5EB7">
        <w:rPr>
          <w:rFonts w:ascii="David" w:hAnsi="David" w:cs="David"/>
          <w:rtl/>
        </w:rPr>
        <w:t>(5.9.2019)).</w:t>
      </w:r>
    </w:p>
    <w:p w:rsidR="00826272" w:rsidRPr="006F5EB7" w:rsidRDefault="00826272" w:rsidP="00304E32">
      <w:pPr>
        <w:pStyle w:val="listparagraph"/>
        <w:bidi/>
        <w:spacing w:before="0" w:beforeAutospacing="0" w:after="0" w:afterAutospacing="0" w:line="360" w:lineRule="auto"/>
        <w:ind w:left="720"/>
        <w:jc w:val="both"/>
        <w:rPr>
          <w:rFonts w:ascii="David" w:hAnsi="David" w:cs="David"/>
        </w:rPr>
      </w:pPr>
      <w:r w:rsidRPr="006F5EB7">
        <w:rPr>
          <w:rFonts w:ascii="David" w:hAnsi="David" w:cs="David"/>
          <w:rtl/>
        </w:rPr>
        <w:t xml:space="preserve">  </w:t>
      </w:r>
    </w:p>
    <w:p w:rsidR="00826272" w:rsidRPr="006F5EB7" w:rsidRDefault="00826272" w:rsidP="00B8665E">
      <w:pPr>
        <w:pStyle w:val="listparagraph"/>
        <w:numPr>
          <w:ilvl w:val="0"/>
          <w:numId w:val="3"/>
        </w:numPr>
        <w:bidi/>
        <w:spacing w:before="0" w:beforeAutospacing="0" w:after="0" w:afterAutospacing="0" w:line="360" w:lineRule="auto"/>
        <w:jc w:val="both"/>
        <w:rPr>
          <w:rFonts w:ascii="David" w:hAnsi="David" w:cs="David"/>
        </w:rPr>
      </w:pPr>
      <w:r w:rsidRPr="006F5EB7">
        <w:rPr>
          <w:rFonts w:ascii="David" w:hAnsi="David" w:cs="David"/>
          <w:rtl/>
        </w:rPr>
        <w:t xml:space="preserve">על רקע ניהול ההוכחות, ציין ב"כ הנאשם בטיעוניו לעונש כי </w:t>
      </w:r>
      <w:r w:rsidR="006F5EB7" w:rsidRPr="006F5EB7">
        <w:rPr>
          <w:rFonts w:ascii="David" w:hAnsi="David" w:cs="David"/>
          <w:rtl/>
        </w:rPr>
        <w:t xml:space="preserve">בשל </w:t>
      </w:r>
      <w:r w:rsidR="009364D5">
        <w:rPr>
          <w:rFonts w:ascii="David" w:hAnsi="David" w:cs="David"/>
          <w:rtl/>
        </w:rPr>
        <w:t xml:space="preserve">העובדה שבסופו של יום </w:t>
      </w:r>
      <w:r w:rsidR="00B8665E">
        <w:rPr>
          <w:rFonts w:ascii="David" w:hAnsi="David" w:cs="David" w:hint="cs"/>
          <w:rtl/>
        </w:rPr>
        <w:t>הקטינה</w:t>
      </w:r>
      <w:r w:rsidRPr="006F5EB7">
        <w:rPr>
          <w:rFonts w:ascii="David" w:hAnsi="David" w:cs="David"/>
          <w:rtl/>
        </w:rPr>
        <w:t xml:space="preserve"> לא העידה בבית המשפט נחסכה ממנה פגיעה משמעותית, נתון אותו יש לזקוף לזכות הנאשם. התקשיתי עד מאד לקבל טיעון זה. אצמצם את התייחסותי לנזק שנגרם ל</w:t>
      </w:r>
      <w:r w:rsidR="00B8665E">
        <w:rPr>
          <w:rFonts w:ascii="David" w:hAnsi="David" w:cs="David" w:hint="cs"/>
          <w:rtl/>
        </w:rPr>
        <w:t>קטינה</w:t>
      </w:r>
      <w:r w:rsidRPr="006F5EB7">
        <w:rPr>
          <w:rFonts w:ascii="David" w:hAnsi="David" w:cs="David"/>
          <w:rtl/>
        </w:rPr>
        <w:t xml:space="preserve"> לאחר הגשת כתב האישום ונוכח אופן ניהול ההליך, אף זאת – בתמצית בלבד: בהתאם למסמכים הרפואיים ולעדויות העדות המומחיות </w:t>
      </w:r>
      <w:r w:rsidR="006806CE">
        <w:rPr>
          <w:rFonts w:ascii="David" w:hAnsi="David" w:cs="David" w:hint="cs"/>
          <w:rtl/>
        </w:rPr>
        <w:t xml:space="preserve">שהתקבלו </w:t>
      </w:r>
      <w:r w:rsidRPr="006F5EB7">
        <w:rPr>
          <w:rFonts w:ascii="David" w:hAnsi="David" w:cs="David"/>
          <w:rtl/>
        </w:rPr>
        <w:t xml:space="preserve">בבית המשפט, ניהול ההליך הפלילי כנגד הנאשם, לאחר שכפר במיוחס לו, גרם </w:t>
      </w:r>
      <w:r w:rsidR="009364D5">
        <w:rPr>
          <w:rFonts w:ascii="David" w:hAnsi="David" w:cs="David"/>
          <w:rtl/>
        </w:rPr>
        <w:t xml:space="preserve">להחמרה משמעותית במצבה </w:t>
      </w:r>
      <w:r w:rsidR="009364D5">
        <w:rPr>
          <w:rFonts w:ascii="David" w:hAnsi="David" w:cs="David"/>
          <w:rtl/>
        </w:rPr>
        <w:lastRenderedPageBreak/>
        <w:t xml:space="preserve">הנפשי של </w:t>
      </w:r>
      <w:r w:rsidR="00B8665E">
        <w:rPr>
          <w:rFonts w:ascii="David" w:hAnsi="David" w:cs="David" w:hint="cs"/>
          <w:rtl/>
        </w:rPr>
        <w:t>הקטינה</w:t>
      </w:r>
      <w:r w:rsidRPr="006F5EB7">
        <w:rPr>
          <w:rFonts w:ascii="David" w:hAnsi="David" w:cs="David"/>
          <w:rtl/>
        </w:rPr>
        <w:t>. במשך כשנתיים וחצי, מאז הוגש כתב האישום ועד ל</w:t>
      </w:r>
      <w:r w:rsidR="006806CE">
        <w:rPr>
          <w:rFonts w:ascii="David" w:hAnsi="David" w:cs="David" w:hint="cs"/>
          <w:rtl/>
        </w:rPr>
        <w:t>קבלת ה</w:t>
      </w:r>
      <w:r w:rsidRPr="006F5EB7">
        <w:rPr>
          <w:rFonts w:ascii="David" w:hAnsi="David" w:cs="David"/>
          <w:rtl/>
        </w:rPr>
        <w:t xml:space="preserve">החלטה לפטור את </w:t>
      </w:r>
      <w:r w:rsidR="00B8665E">
        <w:rPr>
          <w:rFonts w:ascii="David" w:hAnsi="David" w:cs="David" w:hint="cs"/>
          <w:rtl/>
        </w:rPr>
        <w:t>הקטינה</w:t>
      </w:r>
      <w:r w:rsidRPr="006F5EB7">
        <w:rPr>
          <w:rFonts w:ascii="David" w:hAnsi="David" w:cs="David"/>
          <w:rtl/>
        </w:rPr>
        <w:t xml:space="preserve"> מעדות, חלה החמרה קיצונית במצבה הנפשי בשל התנהלות ההליך המשפטי ומצבי סטרס שנגרמו שוב ושוב לקראת מועדים בהם היתה </w:t>
      </w:r>
      <w:r w:rsidR="006806CE" w:rsidRPr="006F5EB7">
        <w:rPr>
          <w:rFonts w:ascii="David" w:hAnsi="David" w:cs="David"/>
          <w:rtl/>
        </w:rPr>
        <w:t xml:space="preserve">אמורה </w:t>
      </w:r>
      <w:r w:rsidRPr="006F5EB7">
        <w:rPr>
          <w:rFonts w:ascii="David" w:hAnsi="David" w:cs="David"/>
          <w:rtl/>
        </w:rPr>
        <w:t xml:space="preserve">להעיד בבית המשפט. מצבים אלה העמיקו את </w:t>
      </w:r>
      <w:r w:rsidR="006806CE">
        <w:rPr>
          <w:rFonts w:ascii="David" w:hAnsi="David" w:cs="David" w:hint="cs"/>
          <w:rtl/>
        </w:rPr>
        <w:t xml:space="preserve"> </w:t>
      </w:r>
      <w:r w:rsidRPr="006F5EB7">
        <w:rPr>
          <w:rFonts w:ascii="David" w:hAnsi="David" w:cs="David"/>
          <w:rtl/>
        </w:rPr>
        <w:t>המשבר הנפש</w:t>
      </w:r>
      <w:r w:rsidR="009364D5">
        <w:rPr>
          <w:rFonts w:ascii="David" w:hAnsi="David" w:cs="David"/>
          <w:rtl/>
        </w:rPr>
        <w:t xml:space="preserve">י בעקבות מעשי הנאשם, והביאו את </w:t>
      </w:r>
      <w:r w:rsidR="00B8665E">
        <w:rPr>
          <w:rFonts w:ascii="David" w:hAnsi="David" w:cs="David" w:hint="cs"/>
          <w:rtl/>
        </w:rPr>
        <w:t>הקטינה</w:t>
      </w:r>
      <w:r w:rsidRPr="006F5EB7">
        <w:rPr>
          <w:rFonts w:ascii="David" w:hAnsi="David" w:cs="David"/>
          <w:rtl/>
        </w:rPr>
        <w:t xml:space="preserve"> לבצע נסיונות אובדניים בדרכים שונות – בליעת כדורים, חיתוך פרקי אמות ידיה, רצון לקפ</w:t>
      </w:r>
      <w:r w:rsidR="009364D5">
        <w:rPr>
          <w:rFonts w:ascii="David" w:hAnsi="David" w:cs="David"/>
          <w:rtl/>
        </w:rPr>
        <w:t>יצה מבנ</w:t>
      </w:r>
      <w:r w:rsidR="006806CE">
        <w:rPr>
          <w:rFonts w:ascii="David" w:hAnsi="David" w:cs="David" w:hint="cs"/>
          <w:rtl/>
        </w:rPr>
        <w:t>י</w:t>
      </w:r>
      <w:r w:rsidR="009364D5">
        <w:rPr>
          <w:rFonts w:ascii="David" w:hAnsi="David" w:cs="David"/>
          <w:rtl/>
        </w:rPr>
        <w:t xml:space="preserve">ין. בנסיבות אלה, אושפזה </w:t>
      </w:r>
      <w:r w:rsidR="00B8665E">
        <w:rPr>
          <w:rFonts w:ascii="David" w:hAnsi="David" w:cs="David" w:hint="cs"/>
          <w:rtl/>
        </w:rPr>
        <w:t>הקטינה</w:t>
      </w:r>
      <w:r w:rsidRPr="006F5EB7">
        <w:rPr>
          <w:rFonts w:ascii="David" w:hAnsi="David" w:cs="David"/>
          <w:rtl/>
        </w:rPr>
        <w:t xml:space="preserve"> מספר פעמים במחלקה סגורה במרכז לבריאות </w:t>
      </w:r>
      <w:r w:rsidR="005B7B3C">
        <w:rPr>
          <w:rFonts w:ascii="David" w:hAnsi="David" w:cs="David" w:hint="cs"/>
          <w:rtl/>
        </w:rPr>
        <w:t>ה</w:t>
      </w:r>
      <w:r w:rsidRPr="006F5EB7">
        <w:rPr>
          <w:rFonts w:ascii="David" w:hAnsi="David" w:cs="David"/>
          <w:rtl/>
        </w:rPr>
        <w:t>נפש (ראו בהרחבה סעיפים</w:t>
      </w:r>
      <w:r w:rsidR="006806CE">
        <w:rPr>
          <w:rFonts w:ascii="David" w:hAnsi="David" w:cs="David" w:hint="cs"/>
          <w:rtl/>
        </w:rPr>
        <w:t xml:space="preserve"> </w:t>
      </w:r>
      <w:r w:rsidRPr="006F5EB7">
        <w:rPr>
          <w:rFonts w:ascii="David" w:hAnsi="David" w:cs="David"/>
          <w:rtl/>
        </w:rPr>
        <w:t xml:space="preserve">18-23 להחלטה מיום 23.5.2022). </w:t>
      </w:r>
    </w:p>
    <w:p w:rsidR="00D1257E" w:rsidRDefault="00826272" w:rsidP="00B8665E">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על רקע מצב נפשי קשה זה והגורמים לו, הוגש</w:t>
      </w:r>
      <w:r w:rsidR="00300901">
        <w:rPr>
          <w:rFonts w:ascii="David" w:hAnsi="David" w:cs="David" w:hint="cs"/>
          <w:rtl/>
        </w:rPr>
        <w:t>ו</w:t>
      </w:r>
      <w:r w:rsidRPr="006F5EB7">
        <w:rPr>
          <w:rFonts w:ascii="David" w:hAnsi="David" w:cs="David"/>
          <w:rtl/>
        </w:rPr>
        <w:t xml:space="preserve"> שתי בקשות לקביעת </w:t>
      </w:r>
      <w:r w:rsidR="009364D5">
        <w:rPr>
          <w:rFonts w:ascii="David" w:hAnsi="David" w:cs="David"/>
          <w:rtl/>
        </w:rPr>
        <w:t xml:space="preserve">תנאי העדה ובהמשך בקשה לפטור את </w:t>
      </w:r>
      <w:r w:rsidR="00B8665E">
        <w:rPr>
          <w:rFonts w:ascii="David" w:hAnsi="David" w:cs="David" w:hint="cs"/>
          <w:rtl/>
        </w:rPr>
        <w:t>הקטינה</w:t>
      </w:r>
      <w:r w:rsidRPr="006F5EB7">
        <w:rPr>
          <w:rFonts w:ascii="David" w:hAnsi="David" w:cs="David"/>
          <w:rtl/>
        </w:rPr>
        <w:t xml:space="preserve"> מעדות. ב"כ הנאשם התנגד לכל הבקשות. התנגדויות אלה נעשו על מנת לשמור על זכויותיו של הנאשם, ולא ניתן לזקוף זאת לחובתו. יחד עם זאת, דרושה מידה לא מבוטלת של ציניות על מנת לטעון כי העובדה ש</w:t>
      </w:r>
      <w:r w:rsidR="00B8665E">
        <w:rPr>
          <w:rFonts w:ascii="David" w:hAnsi="David" w:cs="David" w:hint="cs"/>
          <w:rtl/>
        </w:rPr>
        <w:t>הקטינה</w:t>
      </w:r>
      <w:r w:rsidRPr="006F5EB7">
        <w:rPr>
          <w:rFonts w:ascii="David" w:hAnsi="David" w:cs="David"/>
          <w:rtl/>
        </w:rPr>
        <w:t xml:space="preserve"> לא העידה בסופו של יום, לאור החלטת בית המשפט ובניגוד להתנגדותו הנחרצת של הנאשם, צריכה לשמש לזכותו.</w:t>
      </w:r>
    </w:p>
    <w:p w:rsidR="00826272" w:rsidRPr="006F5EB7" w:rsidRDefault="00826272" w:rsidP="00D1257E">
      <w:pPr>
        <w:pStyle w:val="listparagraph"/>
        <w:bidi/>
        <w:spacing w:before="0" w:beforeAutospacing="0" w:after="0" w:afterAutospacing="0" w:line="360" w:lineRule="auto"/>
        <w:ind w:left="720"/>
        <w:jc w:val="both"/>
        <w:rPr>
          <w:rFonts w:ascii="David" w:hAnsi="David" w:cs="David"/>
          <w:color w:val="000000"/>
          <w:rtl/>
        </w:rPr>
      </w:pPr>
      <w:r w:rsidRPr="006F5EB7">
        <w:rPr>
          <w:rFonts w:ascii="David" w:hAnsi="David" w:cs="David"/>
          <w:rtl/>
        </w:rPr>
        <w:t xml:space="preserve"> </w:t>
      </w:r>
    </w:p>
    <w:p w:rsidR="00826272" w:rsidRPr="006F5EB7" w:rsidRDefault="00826272" w:rsidP="00B8665E">
      <w:pPr>
        <w:pStyle w:val="listparagraph"/>
        <w:numPr>
          <w:ilvl w:val="0"/>
          <w:numId w:val="3"/>
        </w:numPr>
        <w:bidi/>
        <w:spacing w:before="0" w:beforeAutospacing="0" w:after="0" w:afterAutospacing="0" w:line="360" w:lineRule="auto"/>
        <w:jc w:val="both"/>
        <w:rPr>
          <w:rFonts w:ascii="David" w:hAnsi="David" w:cs="David"/>
        </w:rPr>
      </w:pPr>
      <w:r w:rsidRPr="006F5EB7">
        <w:rPr>
          <w:rFonts w:ascii="David" w:hAnsi="David" w:cs="David"/>
          <w:rtl/>
        </w:rPr>
        <w:t>סוגיה נוספת אליה התייחס ב"כ הנאשם, היא חלוף הזמן</w:t>
      </w:r>
      <w:r w:rsidR="00443816" w:rsidRPr="006F5EB7">
        <w:rPr>
          <w:rFonts w:ascii="David" w:hAnsi="David" w:cs="David"/>
          <w:rtl/>
        </w:rPr>
        <w:t xml:space="preserve"> – </w:t>
      </w:r>
      <w:r w:rsidR="00D1257E">
        <w:rPr>
          <w:rFonts w:ascii="David" w:hAnsi="David" w:cs="David" w:hint="cs"/>
          <w:rtl/>
        </w:rPr>
        <w:t>כ</w:t>
      </w:r>
      <w:r w:rsidR="00443816" w:rsidRPr="006F5EB7">
        <w:rPr>
          <w:rFonts w:ascii="David" w:hAnsi="David" w:cs="David"/>
          <w:rtl/>
        </w:rPr>
        <w:t xml:space="preserve">חמש שנים </w:t>
      </w:r>
      <w:r w:rsidR="00D1257E" w:rsidRPr="006F5EB7">
        <w:rPr>
          <w:rFonts w:ascii="David" w:hAnsi="David" w:cs="David"/>
          <w:rtl/>
        </w:rPr>
        <w:t xml:space="preserve">וחצי </w:t>
      </w:r>
      <w:r w:rsidR="00443816" w:rsidRPr="006F5EB7">
        <w:rPr>
          <w:rFonts w:ascii="David" w:hAnsi="David" w:cs="David"/>
          <w:rtl/>
        </w:rPr>
        <w:t xml:space="preserve">מאז ביצוע </w:t>
      </w:r>
      <w:r w:rsidR="00D1257E">
        <w:rPr>
          <w:rFonts w:ascii="David" w:hAnsi="David" w:cs="David" w:hint="cs"/>
          <w:rtl/>
        </w:rPr>
        <w:t xml:space="preserve"> </w:t>
      </w:r>
      <w:r w:rsidR="00443816" w:rsidRPr="006F5EB7">
        <w:rPr>
          <w:rFonts w:ascii="David" w:hAnsi="David" w:cs="David"/>
          <w:rtl/>
        </w:rPr>
        <w:t>העבירות</w:t>
      </w:r>
      <w:r w:rsidRPr="006F5EB7">
        <w:rPr>
          <w:rFonts w:ascii="David" w:hAnsi="David" w:cs="David"/>
          <w:rtl/>
        </w:rPr>
        <w:t xml:space="preserve">. אף בסוגיה זו, יש </w:t>
      </w:r>
      <w:r w:rsidR="00D1257E">
        <w:rPr>
          <w:rFonts w:ascii="David" w:hAnsi="David" w:cs="David" w:hint="cs"/>
          <w:rtl/>
        </w:rPr>
        <w:t xml:space="preserve">לתת </w:t>
      </w:r>
      <w:r w:rsidRPr="006F5EB7">
        <w:rPr>
          <w:rFonts w:ascii="David" w:hAnsi="David" w:cs="David"/>
          <w:rtl/>
        </w:rPr>
        <w:t xml:space="preserve">משקל למצבה הנפשי של </w:t>
      </w:r>
      <w:r w:rsidR="00B8665E">
        <w:rPr>
          <w:rFonts w:ascii="David" w:hAnsi="David" w:cs="David" w:hint="cs"/>
          <w:rtl/>
        </w:rPr>
        <w:t>הקטינה</w:t>
      </w:r>
      <w:r w:rsidRPr="006F5EB7">
        <w:rPr>
          <w:rFonts w:ascii="David" w:hAnsi="David" w:cs="David"/>
          <w:rtl/>
        </w:rPr>
        <w:t xml:space="preserve"> בעקבות מעשי הנאשם וניהול ההליך הפלילי. העבירות שביצע הנאשם התגלו במלואן בתחילת שנת 2018, בעקבות סדנה בה </w:t>
      </w:r>
      <w:r w:rsidR="00443816" w:rsidRPr="006F5EB7">
        <w:rPr>
          <w:rFonts w:ascii="David" w:hAnsi="David" w:cs="David"/>
          <w:rtl/>
        </w:rPr>
        <w:t xml:space="preserve">השתתפה </w:t>
      </w:r>
      <w:r w:rsidR="00B8665E">
        <w:rPr>
          <w:rFonts w:ascii="David" w:hAnsi="David" w:cs="David" w:hint="cs"/>
          <w:rtl/>
        </w:rPr>
        <w:t>הקטינה</w:t>
      </w:r>
      <w:r w:rsidRPr="006F5EB7">
        <w:rPr>
          <w:rFonts w:ascii="David" w:hAnsi="David" w:cs="David"/>
          <w:rtl/>
        </w:rPr>
        <w:t xml:space="preserve">, וגרמה לה להבין את מהות המעשים שביצע הנאשם במהלך סוף שנת 2017. כתוצאה מהבנה זו, חלה התדרדרות קשה במצבה הנפשי של </w:t>
      </w:r>
      <w:r w:rsidR="00B8665E">
        <w:rPr>
          <w:rFonts w:ascii="David" w:hAnsi="David" w:cs="David" w:hint="cs"/>
          <w:rtl/>
        </w:rPr>
        <w:t>הקטינה</w:t>
      </w:r>
      <w:r w:rsidRPr="006F5EB7">
        <w:rPr>
          <w:rFonts w:ascii="David" w:hAnsi="David" w:cs="David"/>
          <w:rtl/>
        </w:rPr>
        <w:t xml:space="preserve">, עד כדי אשפוז ראשון במרכז לבריאות הנפש. פרק זמן מסוים, במהלכו טופלה </w:t>
      </w:r>
      <w:r w:rsidR="00B8665E">
        <w:rPr>
          <w:rFonts w:ascii="David" w:hAnsi="David" w:cs="David" w:hint="cs"/>
          <w:rtl/>
        </w:rPr>
        <w:t>הקטינה</w:t>
      </w:r>
      <w:r w:rsidRPr="006F5EB7">
        <w:rPr>
          <w:rFonts w:ascii="David" w:hAnsi="David" w:cs="David"/>
          <w:rtl/>
        </w:rPr>
        <w:t>, חלף עד לקבלת החלטה כי ניתן להגיש כתב אישום, אשר הוגש בחודש ינואר 2020. אף בהמשך, קושי בשמיעת עדות</w:t>
      </w:r>
      <w:r w:rsidR="00E430BA">
        <w:rPr>
          <w:rFonts w:ascii="David" w:hAnsi="David" w:cs="David" w:hint="cs"/>
          <w:rtl/>
        </w:rPr>
        <w:t xml:space="preserve">ה של </w:t>
      </w:r>
      <w:r w:rsidR="00B8665E">
        <w:rPr>
          <w:rFonts w:ascii="David" w:hAnsi="David" w:cs="David" w:hint="cs"/>
          <w:rtl/>
        </w:rPr>
        <w:t>הקטינה</w:t>
      </w:r>
      <w:r w:rsidRPr="006F5EB7">
        <w:rPr>
          <w:rFonts w:ascii="David" w:hAnsi="David" w:cs="David"/>
          <w:rtl/>
        </w:rPr>
        <w:t xml:space="preserve"> לנוכח התדרדרות מצבה הנפשי, בעקבות ניהול ההליך המשפטי, הביא לביטול דיונים בהם היתה אמורה להעיד וכן לצורך בשמיעת עדויות של מספר מומחיות לגבי מצבה הנפשי. כך, עיקר הזמן שחלף מעת ביצוע העבירות ועד היום הוא תוצאה של השפעת המעשים וכן של אופן ניהול </w:t>
      </w:r>
      <w:r w:rsidR="009364D5">
        <w:rPr>
          <w:rFonts w:ascii="David" w:hAnsi="David" w:cs="David"/>
          <w:rtl/>
        </w:rPr>
        <w:t xml:space="preserve">ההליך המשפטי, על מצבה הנפשי של </w:t>
      </w:r>
      <w:r w:rsidR="00B8665E">
        <w:rPr>
          <w:rFonts w:ascii="David" w:hAnsi="David" w:cs="David" w:hint="cs"/>
          <w:rtl/>
        </w:rPr>
        <w:t>הקטינה</w:t>
      </w:r>
      <w:r w:rsidRPr="006F5EB7">
        <w:rPr>
          <w:rFonts w:ascii="David" w:hAnsi="David" w:cs="David"/>
          <w:rtl/>
        </w:rPr>
        <w:t xml:space="preserve">. </w:t>
      </w:r>
    </w:p>
    <w:p w:rsidR="00826272" w:rsidRPr="006F5EB7" w:rsidRDefault="006F5EB7" w:rsidP="00A63676">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 xml:space="preserve">לפיכך, </w:t>
      </w:r>
      <w:r w:rsidR="00826272" w:rsidRPr="006F5EB7">
        <w:rPr>
          <w:rFonts w:ascii="David" w:hAnsi="David" w:cs="David"/>
          <w:rtl/>
        </w:rPr>
        <w:t xml:space="preserve">יש </w:t>
      </w:r>
      <w:r w:rsidRPr="006F5EB7">
        <w:rPr>
          <w:rFonts w:ascii="David" w:hAnsi="David" w:cs="David"/>
          <w:rtl/>
        </w:rPr>
        <w:t xml:space="preserve">לתת משקל מסוים לעובדה </w:t>
      </w:r>
      <w:r w:rsidR="00826272" w:rsidRPr="006F5EB7">
        <w:rPr>
          <w:rFonts w:ascii="David" w:hAnsi="David" w:cs="David"/>
          <w:rtl/>
        </w:rPr>
        <w:t xml:space="preserve">שחלפו כחמש שנים </w:t>
      </w:r>
      <w:r w:rsidR="00D1257E" w:rsidRPr="006F5EB7">
        <w:rPr>
          <w:rFonts w:ascii="David" w:hAnsi="David" w:cs="David"/>
          <w:rtl/>
        </w:rPr>
        <w:t xml:space="preserve">וחצי </w:t>
      </w:r>
      <w:r w:rsidR="00826272" w:rsidRPr="006F5EB7">
        <w:rPr>
          <w:rFonts w:ascii="David" w:hAnsi="David" w:cs="David"/>
          <w:rtl/>
        </w:rPr>
        <w:t xml:space="preserve">מאז ביצוע העבירות, אולם לא ניתן שלא </w:t>
      </w:r>
      <w:r w:rsidR="00D1257E">
        <w:rPr>
          <w:rFonts w:ascii="David" w:hAnsi="David" w:cs="David" w:hint="cs"/>
          <w:rtl/>
        </w:rPr>
        <w:t>להתייחס</w:t>
      </w:r>
      <w:r w:rsidR="00826272" w:rsidRPr="006F5EB7">
        <w:rPr>
          <w:rFonts w:ascii="David" w:hAnsi="David" w:cs="David"/>
          <w:rtl/>
        </w:rPr>
        <w:t xml:space="preserve"> אף </w:t>
      </w:r>
      <w:r w:rsidR="00D1257E">
        <w:rPr>
          <w:rFonts w:ascii="David" w:hAnsi="David" w:cs="David" w:hint="cs"/>
          <w:rtl/>
        </w:rPr>
        <w:t>ל</w:t>
      </w:r>
      <w:r w:rsidR="00826272" w:rsidRPr="006F5EB7">
        <w:rPr>
          <w:rFonts w:ascii="David" w:hAnsi="David" w:cs="David"/>
          <w:rtl/>
        </w:rPr>
        <w:t xml:space="preserve">סיבות </w:t>
      </w:r>
      <w:r w:rsidR="00D1257E">
        <w:rPr>
          <w:rFonts w:ascii="David" w:hAnsi="David" w:cs="David" w:hint="cs"/>
          <w:rtl/>
        </w:rPr>
        <w:t>א</w:t>
      </w:r>
      <w:r w:rsidR="00826272" w:rsidRPr="006F5EB7">
        <w:rPr>
          <w:rFonts w:ascii="David" w:hAnsi="David" w:cs="David"/>
          <w:rtl/>
        </w:rPr>
        <w:t>ש</w:t>
      </w:r>
      <w:r w:rsidR="00D1257E">
        <w:rPr>
          <w:rFonts w:ascii="David" w:hAnsi="David" w:cs="David" w:hint="cs"/>
          <w:rtl/>
        </w:rPr>
        <w:t xml:space="preserve">ר </w:t>
      </w:r>
      <w:r w:rsidR="00826272" w:rsidRPr="006F5EB7">
        <w:rPr>
          <w:rFonts w:ascii="David" w:hAnsi="David" w:cs="David"/>
          <w:rtl/>
        </w:rPr>
        <w:t xml:space="preserve">הביאו לכך. </w:t>
      </w:r>
      <w:r w:rsidR="00D1257E">
        <w:rPr>
          <w:rFonts w:ascii="David" w:hAnsi="David" w:cs="David" w:hint="cs"/>
          <w:rtl/>
        </w:rPr>
        <w:t xml:space="preserve">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 xml:space="preserve"> </w:t>
      </w:r>
    </w:p>
    <w:p w:rsidR="00826272" w:rsidRPr="006F5EB7" w:rsidRDefault="00826272" w:rsidP="00994A82">
      <w:pPr>
        <w:pStyle w:val="listparagraph"/>
        <w:numPr>
          <w:ilvl w:val="0"/>
          <w:numId w:val="3"/>
        </w:numPr>
        <w:bidi/>
        <w:spacing w:before="0" w:beforeAutospacing="0" w:after="0" w:afterAutospacing="0" w:line="360" w:lineRule="auto"/>
        <w:jc w:val="both"/>
        <w:rPr>
          <w:rFonts w:ascii="David" w:hAnsi="David" w:cs="David"/>
          <w:rtl/>
        </w:rPr>
      </w:pPr>
      <w:r w:rsidRPr="006F5EB7">
        <w:rPr>
          <w:rFonts w:ascii="David" w:hAnsi="David" w:cs="David"/>
          <w:rtl/>
        </w:rPr>
        <w:t xml:space="preserve">ב"כ הנאשם טען כי יש להימנע מהטלת מאסר </w:t>
      </w:r>
      <w:r w:rsidR="00D1257E">
        <w:rPr>
          <w:rFonts w:ascii="David" w:hAnsi="David" w:cs="David" w:hint="cs"/>
          <w:rtl/>
        </w:rPr>
        <w:t xml:space="preserve">בפועל </w:t>
      </w:r>
      <w:r w:rsidRPr="006F5EB7">
        <w:rPr>
          <w:rFonts w:ascii="David" w:hAnsi="David" w:cs="David"/>
          <w:rtl/>
        </w:rPr>
        <w:t>על הנאשם, לאור הפסיקה בעניינו של לופליאנסקי</w:t>
      </w:r>
      <w:r w:rsidR="00B604FD">
        <w:rPr>
          <w:rFonts w:ascii="David" w:hAnsi="David" w:cs="David" w:hint="cs"/>
          <w:rtl/>
        </w:rPr>
        <w:t xml:space="preserve"> (ע"פ 5669/14 </w:t>
      </w:r>
      <w:r w:rsidR="00FD180F" w:rsidRPr="00FD180F">
        <w:rPr>
          <w:rFonts w:ascii="David" w:hAnsi="David" w:cs="David" w:hint="cs"/>
          <w:b/>
          <w:bCs/>
          <w:rtl/>
        </w:rPr>
        <w:t>אורי</w:t>
      </w:r>
      <w:r w:rsidR="00FD180F">
        <w:rPr>
          <w:rFonts w:ascii="David" w:hAnsi="David" w:cs="David" w:hint="cs"/>
          <w:rtl/>
        </w:rPr>
        <w:t xml:space="preserve"> </w:t>
      </w:r>
      <w:r w:rsidR="00B604FD" w:rsidRPr="00036B1D">
        <w:rPr>
          <w:rFonts w:ascii="David" w:hAnsi="David" w:cs="David" w:hint="cs"/>
          <w:b/>
          <w:bCs/>
          <w:rtl/>
        </w:rPr>
        <w:t>ל</w:t>
      </w:r>
      <w:r w:rsidR="00994A82">
        <w:rPr>
          <w:rFonts w:ascii="David" w:hAnsi="David" w:cs="David" w:hint="cs"/>
          <w:b/>
          <w:bCs/>
          <w:rtl/>
        </w:rPr>
        <w:t>ו</w:t>
      </w:r>
      <w:r w:rsidR="00B604FD" w:rsidRPr="00036B1D">
        <w:rPr>
          <w:rFonts w:ascii="David" w:hAnsi="David" w:cs="David" w:hint="cs"/>
          <w:b/>
          <w:bCs/>
          <w:rtl/>
        </w:rPr>
        <w:t>פליאנסקי נ' מדינת ישראל</w:t>
      </w:r>
      <w:r w:rsidR="00B604FD">
        <w:rPr>
          <w:rFonts w:ascii="David" w:hAnsi="David" w:cs="David" w:hint="cs"/>
          <w:rtl/>
        </w:rPr>
        <w:t xml:space="preserve"> (29.12.2015))</w:t>
      </w:r>
      <w:r w:rsidRPr="006F5EB7">
        <w:rPr>
          <w:rFonts w:ascii="David" w:hAnsi="David" w:cs="David"/>
          <w:rtl/>
        </w:rPr>
        <w:t>. עיון במסמכים שהוגשו לגבי מצבו הרפואי של הנאשם, מעלה כי נקבעו לו 10% נכות משרד הביטחון בשל הגבלה בתנועות הקרסול, וכן 42% נכות ביטוח לאומי בשל פגיעה בעבודה שהביאה לפריצת דיסק ובהמשך לניתוח כריתת הדיסק. יש לתת משקל מסוים למצב רפואי זה, על אף שלא מנע מהנאשם מלבצע את העבירות בהן הורשע, אולם וודאי שאין מדובר בקושי רפואי א</w:t>
      </w:r>
      <w:r w:rsidR="009464DD">
        <w:rPr>
          <w:rFonts w:ascii="David" w:hAnsi="David" w:cs="David" w:hint="cs"/>
          <w:rtl/>
        </w:rPr>
        <w:t>י</w:t>
      </w:r>
      <w:r w:rsidRPr="006F5EB7">
        <w:rPr>
          <w:rFonts w:ascii="David" w:hAnsi="David" w:cs="David"/>
          <w:rtl/>
        </w:rPr>
        <w:t xml:space="preserve">תו שב"ס לא יוכל להתמודד או בחשש ממשי לתוחלת חייו של הנאשם ככל שירצה מאסר בפועל, כפי שנקבע: </w:t>
      </w:r>
    </w:p>
    <w:p w:rsidR="00826272" w:rsidRPr="006F5EB7" w:rsidRDefault="00826272" w:rsidP="00826272">
      <w:pPr>
        <w:ind w:left="1360" w:right="1134"/>
        <w:jc w:val="both"/>
        <w:rPr>
          <w:rFonts w:ascii="David" w:hAnsi="David"/>
          <w:color w:val="000000"/>
          <w:rtl/>
        </w:rPr>
      </w:pPr>
      <w:r w:rsidRPr="006F5EB7">
        <w:rPr>
          <w:rFonts w:ascii="David" w:hAnsi="David"/>
          <w:rtl/>
        </w:rPr>
        <w:t>"</w:t>
      </w:r>
      <w:r w:rsidRPr="006F5EB7">
        <w:rPr>
          <w:rFonts w:ascii="David" w:hAnsi="David"/>
          <w:b/>
          <w:bCs/>
          <w:rtl/>
        </w:rPr>
        <w:t xml:space="preserve">ההכרעה בעניין לופוליאנסקי נעשתה על רקע נסיבותיו המיוחדות של אותו מקרה, בהן בית המשפט התרשם, בין היתר, כי עונש מאסר עשוי להביא לקיצור ממשי של תוחלת חייו בשל מחלתו... ככלל, מצב </w:t>
      </w:r>
      <w:r w:rsidRPr="006F5EB7">
        <w:rPr>
          <w:rFonts w:ascii="David" w:hAnsi="David"/>
          <w:b/>
          <w:bCs/>
          <w:rtl/>
        </w:rPr>
        <w:lastRenderedPageBreak/>
        <w:t>בריאותי קשה איננו מקנה לעבריין פטור מעונש מאסר בפועל בגין מעשיו, ככל שעונש זה מוצדק לגביו לאחר הרשעתו... הנחת המוצא היא שגורמי הרפואה בשירות בתי הסוהר ערוכים לטפל באסירים במצבים רפואיים שונים, כולל מצבים רפואיים שאינם פשוטים, וחזקה היא שהאסיר יקבל את הטיפול הרפואי לו הוא נזקק בין כותלי בית הסוהר</w:t>
      </w:r>
      <w:r w:rsidRPr="006F5EB7">
        <w:rPr>
          <w:rFonts w:ascii="David" w:hAnsi="David"/>
          <w:color w:val="000000"/>
          <w:rtl/>
        </w:rPr>
        <w:t xml:space="preserve">" </w:t>
      </w:r>
    </w:p>
    <w:p w:rsidR="00826272" w:rsidRPr="006F5EB7" w:rsidRDefault="00826272" w:rsidP="00826272">
      <w:pPr>
        <w:ind w:left="1360" w:right="1134"/>
        <w:jc w:val="both"/>
        <w:rPr>
          <w:rFonts w:ascii="David" w:hAnsi="David"/>
          <w:color w:val="000000"/>
          <w:rtl/>
        </w:rPr>
      </w:pPr>
      <w:r w:rsidRPr="006F5EB7">
        <w:rPr>
          <w:rFonts w:ascii="David" w:hAnsi="David"/>
          <w:color w:val="000000"/>
          <w:rtl/>
        </w:rPr>
        <w:t xml:space="preserve">(רע"פ 1076/16 </w:t>
      </w:r>
      <w:r w:rsidRPr="006F5EB7">
        <w:rPr>
          <w:rFonts w:ascii="David" w:hAnsi="David"/>
          <w:b/>
          <w:bCs/>
          <w:color w:val="000000"/>
          <w:rtl/>
        </w:rPr>
        <w:t>חיים כהן נ' מדינת ישראל</w:t>
      </w:r>
      <w:r w:rsidRPr="006F5EB7">
        <w:rPr>
          <w:rFonts w:ascii="David" w:hAnsi="David"/>
          <w:color w:val="000000"/>
          <w:rtl/>
        </w:rPr>
        <w:t>, פ</w:t>
      </w:r>
      <w:r w:rsidR="00E430BA">
        <w:rPr>
          <w:rFonts w:ascii="David" w:hAnsi="David" w:hint="cs"/>
          <w:color w:val="000000"/>
          <w:rtl/>
        </w:rPr>
        <w:t>י</w:t>
      </w:r>
      <w:r w:rsidRPr="006F5EB7">
        <w:rPr>
          <w:rFonts w:ascii="David" w:hAnsi="David"/>
          <w:color w:val="000000"/>
          <w:rtl/>
        </w:rPr>
        <w:t>סקה 9 (11.2.2016)).</w:t>
      </w:r>
      <w:r w:rsidRPr="006F5EB7">
        <w:rPr>
          <w:rFonts w:ascii="David" w:hAnsi="David"/>
          <w:b/>
          <w:bCs/>
          <w:color w:val="000000"/>
          <w:rtl/>
        </w:rPr>
        <w:t xml:space="preserve">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rtl/>
        </w:rPr>
      </w:pPr>
    </w:p>
    <w:p w:rsidR="00826272" w:rsidRPr="006F5EB7" w:rsidRDefault="00826272" w:rsidP="00D1257E">
      <w:pPr>
        <w:pStyle w:val="listparagraph"/>
        <w:numPr>
          <w:ilvl w:val="0"/>
          <w:numId w:val="3"/>
        </w:numPr>
        <w:bidi/>
        <w:spacing w:before="0" w:beforeAutospacing="0" w:after="0" w:afterAutospacing="0" w:line="360" w:lineRule="auto"/>
        <w:jc w:val="both"/>
        <w:rPr>
          <w:rFonts w:ascii="David" w:hAnsi="David" w:cs="David"/>
          <w:color w:val="000000"/>
          <w:rtl/>
        </w:rPr>
      </w:pPr>
      <w:r w:rsidRPr="006F5EB7">
        <w:rPr>
          <w:rFonts w:ascii="David" w:hAnsi="David" w:cs="David"/>
          <w:color w:val="000000"/>
          <w:rtl/>
        </w:rPr>
        <w:t xml:space="preserve">המאשימה עתרה להטיל על הנאשם פיצוי, בהתאם להוראת סעיף 77 לחוק העונשין. מדובר ברכיב בעל אופי אזרחי המשלב בתוכו מאפיינים עונשיים. בין התכליות הקיימות לרכיב זה, הן מתן סעד לנפגע העבירה בטווח זמנים קצר מבלי שיאלץ להמתין לסיום הליך אזרחי בעניינו; הכרת החברה בסבלו של הנפגע; העלאת מעמד קורבן העבירה בהליך הפלילי, כחלק מההכרה בזכויותיו בהליך זה, ועוד (ראו ע"פ 8745/08 </w:t>
      </w:r>
      <w:r w:rsidRPr="006F5EB7">
        <w:rPr>
          <w:rFonts w:ascii="David" w:hAnsi="David" w:cs="David"/>
          <w:b/>
          <w:bCs/>
          <w:color w:val="000000"/>
          <w:rtl/>
        </w:rPr>
        <w:t>פלוני נ' מדינת ישראל</w:t>
      </w:r>
      <w:r w:rsidRPr="006F5EB7">
        <w:rPr>
          <w:rFonts w:ascii="David" w:hAnsi="David" w:cs="David"/>
          <w:color w:val="000000"/>
          <w:rtl/>
        </w:rPr>
        <w:t>, פיסקה 30 (30.11.2011)). אשר לשיעור הפ</w:t>
      </w:r>
      <w:r w:rsidR="00D1257E">
        <w:rPr>
          <w:rFonts w:ascii="David" w:hAnsi="David" w:cs="David"/>
          <w:color w:val="000000"/>
          <w:rtl/>
        </w:rPr>
        <w:t>יצוי, מדובר כאמור בפיצוי ראשוני</w:t>
      </w:r>
      <w:r w:rsidRPr="006F5EB7">
        <w:rPr>
          <w:rFonts w:ascii="David" w:hAnsi="David" w:cs="David"/>
          <w:color w:val="000000"/>
          <w:rtl/>
        </w:rPr>
        <w:t xml:space="preserve"> אותו פוסק בית המשפט ככלל על דרך האומדנא. המחוקק קבע התוויה כללית בלבד לפיה ניתן לפסוק פיצוי לנפגעי עבירה בגין "נזק וסבל", ולעניין תיחום סכום הפיצוי הסתפק בקביעת תקרה סטטוטורית (ראו דנ"פ 5625/16 </w:t>
      </w:r>
      <w:r w:rsidRPr="006F5EB7">
        <w:rPr>
          <w:rFonts w:ascii="David" w:hAnsi="David" w:cs="David"/>
          <w:b/>
          <w:bCs/>
          <w:color w:val="000000"/>
          <w:rtl/>
        </w:rPr>
        <w:t>אסרף קארין נ' אבנר טווק בוקובזה</w:t>
      </w:r>
      <w:r w:rsidRPr="006F5EB7">
        <w:rPr>
          <w:rFonts w:ascii="David" w:hAnsi="David" w:cs="David"/>
          <w:color w:val="000000"/>
          <w:rtl/>
        </w:rPr>
        <w:t xml:space="preserve">, פיסקאות 31-32 בפסק דינה של כב' השופטת (כתוארה אז) חיות, (13.9.2017)). עוד נקבע, כי מצוקה כלכלית של המורשע או של משפחתו, אינה מהווה שיקול בעת קביעת פיצוי לנפגע עבירה במסגרת הליך פלילי (ע"פ 990/21 </w:t>
      </w:r>
      <w:r w:rsidRPr="006F5EB7">
        <w:rPr>
          <w:rFonts w:ascii="David" w:hAnsi="David" w:cs="David"/>
          <w:b/>
          <w:bCs/>
          <w:color w:val="000000"/>
          <w:rtl/>
        </w:rPr>
        <w:t>פלוני נ' מדינת ישראל</w:t>
      </w:r>
      <w:r w:rsidRPr="006F5EB7">
        <w:rPr>
          <w:rFonts w:ascii="David" w:hAnsi="David" w:cs="David"/>
          <w:color w:val="000000"/>
          <w:rtl/>
        </w:rPr>
        <w:t>, פיסקה 47 (30.11.2022)).</w:t>
      </w:r>
    </w:p>
    <w:p w:rsidR="00826272" w:rsidRPr="006F5EB7" w:rsidRDefault="00826272" w:rsidP="00B8665E">
      <w:pPr>
        <w:pStyle w:val="listparagraph"/>
        <w:bidi/>
        <w:spacing w:before="0" w:beforeAutospacing="0" w:after="0" w:afterAutospacing="0" w:line="360" w:lineRule="auto"/>
        <w:ind w:left="720"/>
        <w:jc w:val="both"/>
        <w:rPr>
          <w:rFonts w:ascii="David" w:hAnsi="David" w:cs="David"/>
          <w:color w:val="000000"/>
          <w:rtl/>
        </w:rPr>
      </w:pPr>
      <w:r w:rsidRPr="006F5EB7">
        <w:rPr>
          <w:rFonts w:ascii="David" w:hAnsi="David" w:cs="David"/>
          <w:color w:val="000000"/>
          <w:rtl/>
        </w:rPr>
        <w:t xml:space="preserve">בית המשפט </w:t>
      </w:r>
      <w:r w:rsidR="00D1257E">
        <w:rPr>
          <w:rFonts w:ascii="David" w:hAnsi="David" w:cs="David" w:hint="cs"/>
          <w:color w:val="000000"/>
          <w:rtl/>
        </w:rPr>
        <w:t xml:space="preserve">נחשף במהלך ניהול הליך זה </w:t>
      </w:r>
      <w:r w:rsidRPr="006F5EB7">
        <w:rPr>
          <w:rFonts w:ascii="David" w:hAnsi="David" w:cs="David"/>
          <w:color w:val="000000"/>
          <w:rtl/>
        </w:rPr>
        <w:t>למידת הפגיעה העמוקה ב</w:t>
      </w:r>
      <w:r w:rsidR="00B8665E">
        <w:rPr>
          <w:rFonts w:ascii="David" w:hAnsi="David" w:cs="David" w:hint="cs"/>
          <w:rtl/>
        </w:rPr>
        <w:t>קטינה</w:t>
      </w:r>
      <w:r w:rsidRPr="006F5EB7">
        <w:rPr>
          <w:rFonts w:ascii="David" w:hAnsi="David" w:cs="David"/>
          <w:color w:val="000000"/>
          <w:rtl/>
        </w:rPr>
        <w:t xml:space="preserve"> בשל מעשי הנאשם, לשבר </w:t>
      </w:r>
      <w:r w:rsidR="008B124B">
        <w:rPr>
          <w:rFonts w:ascii="David" w:hAnsi="David" w:cs="David" w:hint="cs"/>
          <w:color w:val="000000"/>
          <w:rtl/>
        </w:rPr>
        <w:t>ה</w:t>
      </w:r>
      <w:r w:rsidRPr="006F5EB7">
        <w:rPr>
          <w:rFonts w:ascii="David" w:hAnsi="David" w:cs="David"/>
          <w:color w:val="000000"/>
          <w:rtl/>
        </w:rPr>
        <w:t>עמוק שנפער בנפשה ללא איחוי עד כדי נסיונות אובדניים חוזרים ואשפוזים במחלקה סגורה. עוד עלה מהראיות שהוצגו</w:t>
      </w:r>
      <w:r w:rsidR="008B124B">
        <w:rPr>
          <w:rFonts w:ascii="David" w:hAnsi="David" w:cs="David" w:hint="cs"/>
          <w:color w:val="000000"/>
          <w:rtl/>
        </w:rPr>
        <w:t>,</w:t>
      </w:r>
      <w:r w:rsidRPr="006F5EB7">
        <w:rPr>
          <w:rFonts w:ascii="David" w:hAnsi="David" w:cs="David"/>
          <w:color w:val="000000"/>
          <w:rtl/>
        </w:rPr>
        <w:t xml:space="preserve"> כי </w:t>
      </w:r>
      <w:r w:rsidR="00B8665E">
        <w:rPr>
          <w:rFonts w:ascii="David" w:hAnsi="David" w:cs="David" w:hint="cs"/>
          <w:rtl/>
        </w:rPr>
        <w:t>הקטינה</w:t>
      </w:r>
      <w:r w:rsidR="008B124B">
        <w:rPr>
          <w:rFonts w:ascii="David" w:hAnsi="David" w:cs="David" w:hint="cs"/>
          <w:rtl/>
        </w:rPr>
        <w:t xml:space="preserve"> </w:t>
      </w:r>
      <w:r w:rsidRPr="006F5EB7">
        <w:rPr>
          <w:rFonts w:ascii="David" w:hAnsi="David" w:cs="David"/>
          <w:color w:val="000000"/>
          <w:rtl/>
        </w:rPr>
        <w:t>נזקקת מאז האירועים לטיפול נפשי אינטנסיבי, ולמסגרות חוץ ביתיות מיוחדות (</w:t>
      </w:r>
      <w:r w:rsidR="008B124B">
        <w:rPr>
          <w:rFonts w:ascii="David" w:hAnsi="David" w:cs="David" w:hint="cs"/>
          <w:color w:val="000000"/>
          <w:rtl/>
        </w:rPr>
        <w:t xml:space="preserve">ראו </w:t>
      </w:r>
      <w:r w:rsidRPr="006F5EB7">
        <w:rPr>
          <w:rFonts w:ascii="David" w:hAnsi="David" w:cs="David"/>
          <w:color w:val="000000"/>
          <w:rtl/>
        </w:rPr>
        <w:t>ראיות המפורטות בהחלטה מיום 23.5.2022 וכן המפורט בטמ/1). הנזק והסבל שנגרמו ל</w:t>
      </w:r>
      <w:r w:rsidR="00B8665E">
        <w:rPr>
          <w:rFonts w:ascii="David" w:hAnsi="David" w:cs="David" w:hint="cs"/>
          <w:rtl/>
        </w:rPr>
        <w:t>קטינה</w:t>
      </w:r>
      <w:r w:rsidRPr="006F5EB7">
        <w:rPr>
          <w:rFonts w:ascii="David" w:hAnsi="David" w:cs="David"/>
          <w:color w:val="000000"/>
          <w:rtl/>
        </w:rPr>
        <w:t xml:space="preserve"> אינם ניתנים לפיצוי. יחד עם זאת, אני מוצא כי יש להטיל על הנאשם פיצוי משמעותי שיהיה בו משום סעד כלשהו שיסייע ל</w:t>
      </w:r>
      <w:r w:rsidR="00B8665E">
        <w:rPr>
          <w:rFonts w:ascii="David" w:hAnsi="David" w:cs="David" w:hint="cs"/>
          <w:rtl/>
        </w:rPr>
        <w:t>קטינה</w:t>
      </w:r>
      <w:r w:rsidRPr="006F5EB7">
        <w:rPr>
          <w:rFonts w:ascii="David" w:hAnsi="David" w:cs="David"/>
          <w:color w:val="000000"/>
          <w:rtl/>
        </w:rPr>
        <w:t xml:space="preserve"> בטיפול והחלמה, ויעיד על ההכרה בסבלה ובזכויותיה במסגרת הליך זה.   </w:t>
      </w:r>
    </w:p>
    <w:p w:rsidR="00826272" w:rsidRPr="006F5EB7" w:rsidRDefault="00826272" w:rsidP="00826272">
      <w:pPr>
        <w:pStyle w:val="listparagraph"/>
        <w:bidi/>
        <w:spacing w:before="0" w:beforeAutospacing="0" w:after="0" w:afterAutospacing="0"/>
        <w:jc w:val="both"/>
        <w:rPr>
          <w:rFonts w:ascii="David" w:hAnsi="David" w:cs="David"/>
          <w:rtl/>
        </w:rPr>
      </w:pPr>
    </w:p>
    <w:p w:rsidR="00826272" w:rsidRPr="006F5EB7" w:rsidRDefault="00826272" w:rsidP="00A63676">
      <w:pPr>
        <w:pStyle w:val="listparagraph"/>
        <w:numPr>
          <w:ilvl w:val="0"/>
          <w:numId w:val="3"/>
        </w:numPr>
        <w:bidi/>
        <w:spacing w:before="0" w:beforeAutospacing="0" w:after="0" w:afterAutospacing="0" w:line="360" w:lineRule="auto"/>
        <w:jc w:val="both"/>
        <w:rPr>
          <w:rFonts w:ascii="David" w:hAnsi="David" w:cs="David"/>
          <w:rtl/>
        </w:rPr>
      </w:pPr>
      <w:r w:rsidRPr="006F5EB7">
        <w:rPr>
          <w:rFonts w:ascii="David" w:hAnsi="David" w:cs="David"/>
          <w:rtl/>
        </w:rPr>
        <w:t>כחלק מקביעת העונש המתאים, יש להתייחס לסוג העבירות בהן הורשע הנאשם</w:t>
      </w:r>
      <w:r w:rsidR="008B124B">
        <w:rPr>
          <w:rFonts w:ascii="David" w:hAnsi="David" w:cs="David" w:hint="cs"/>
          <w:rtl/>
        </w:rPr>
        <w:t xml:space="preserve"> </w:t>
      </w:r>
      <w:r w:rsidR="008B124B" w:rsidRPr="006F5EB7">
        <w:rPr>
          <w:rFonts w:ascii="David" w:hAnsi="David" w:cs="David"/>
          <w:rtl/>
        </w:rPr>
        <w:t>ולאופי</w:t>
      </w:r>
      <w:r w:rsidR="008B124B">
        <w:rPr>
          <w:rFonts w:ascii="David" w:hAnsi="David" w:cs="David" w:hint="cs"/>
          <w:rtl/>
        </w:rPr>
        <w:t>ין.</w:t>
      </w:r>
      <w:r w:rsidRPr="006F5EB7">
        <w:rPr>
          <w:rFonts w:ascii="David" w:hAnsi="David" w:cs="David"/>
          <w:rtl/>
        </w:rPr>
        <w:t xml:space="preserve"> עבירות מין כנגד קטינים המבוצעות תוך שימוש במרחב הוירטואלי של המרשתת, מספק</w:t>
      </w:r>
      <w:r w:rsidR="008B124B">
        <w:rPr>
          <w:rFonts w:ascii="David" w:hAnsi="David" w:cs="David" w:hint="cs"/>
          <w:rtl/>
        </w:rPr>
        <w:t>ות</w:t>
      </w:r>
      <w:r w:rsidRPr="006F5EB7">
        <w:rPr>
          <w:rFonts w:ascii="David" w:hAnsi="David" w:cs="David"/>
          <w:rtl/>
        </w:rPr>
        <w:t xml:space="preserve"> נגישות רבה </w:t>
      </w:r>
      <w:r w:rsidR="008B124B">
        <w:rPr>
          <w:rFonts w:ascii="David" w:hAnsi="David" w:cs="David" w:hint="cs"/>
          <w:rtl/>
        </w:rPr>
        <w:t>ו</w:t>
      </w:r>
      <w:r w:rsidRPr="006F5EB7">
        <w:rPr>
          <w:rFonts w:ascii="David" w:hAnsi="David" w:cs="David"/>
          <w:rtl/>
        </w:rPr>
        <w:t>מאפשר</w:t>
      </w:r>
      <w:r w:rsidR="008B124B">
        <w:rPr>
          <w:rFonts w:ascii="David" w:hAnsi="David" w:cs="David" w:hint="cs"/>
          <w:rtl/>
        </w:rPr>
        <w:t>ות</w:t>
      </w:r>
      <w:r w:rsidRPr="006F5EB7">
        <w:rPr>
          <w:rFonts w:ascii="David" w:hAnsi="David" w:cs="David"/>
          <w:rtl/>
        </w:rPr>
        <w:t xml:space="preserve"> אנונימיות </w:t>
      </w:r>
      <w:r w:rsidR="008B124B">
        <w:rPr>
          <w:rFonts w:ascii="David" w:hAnsi="David" w:cs="David" w:hint="cs"/>
          <w:rtl/>
        </w:rPr>
        <w:t>ה</w:t>
      </w:r>
      <w:r w:rsidRPr="006F5EB7">
        <w:rPr>
          <w:rFonts w:ascii="David" w:hAnsi="David" w:cs="David"/>
          <w:rtl/>
        </w:rPr>
        <w:t>מהווה כר פורה לפגיעה קלה בחוליה חלשה זו בחברה. לפיכך, יש מקום למתן משקל מסו</w:t>
      </w:r>
      <w:r w:rsidR="00A63676">
        <w:rPr>
          <w:rFonts w:ascii="David" w:hAnsi="David" w:cs="David" w:hint="cs"/>
          <w:rtl/>
        </w:rPr>
        <w:t>י</w:t>
      </w:r>
      <w:r w:rsidRPr="006F5EB7">
        <w:rPr>
          <w:rFonts w:ascii="David" w:hAnsi="David" w:cs="David"/>
          <w:rtl/>
        </w:rPr>
        <w:t xml:space="preserve">ם בעת קביעת העונש אף לצורך בהרתעת הרבים. </w:t>
      </w:r>
    </w:p>
    <w:p w:rsidR="00826272" w:rsidRPr="006F5EB7" w:rsidRDefault="00826272" w:rsidP="008B124B">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 xml:space="preserve">כך, נקבע כי קיים מקום בהתייחסות הענישה לצורך </w:t>
      </w:r>
      <w:r w:rsidR="008B124B">
        <w:rPr>
          <w:rFonts w:ascii="David" w:hAnsi="David" w:cs="David" w:hint="cs"/>
          <w:rtl/>
        </w:rPr>
        <w:t>ב</w:t>
      </w:r>
      <w:r w:rsidRPr="006F5EB7">
        <w:rPr>
          <w:rFonts w:ascii="David" w:hAnsi="David" w:cs="David"/>
          <w:rtl/>
        </w:rPr>
        <w:t xml:space="preserve">הרתעת עברייני מין פוטנציאליים: </w:t>
      </w:r>
    </w:p>
    <w:p w:rsidR="00826272" w:rsidRPr="006F5EB7" w:rsidRDefault="00826272" w:rsidP="00826272">
      <w:pPr>
        <w:pStyle w:val="listparagraph"/>
        <w:bidi/>
        <w:spacing w:before="0" w:beforeAutospacing="0" w:after="0" w:afterAutospacing="0"/>
        <w:ind w:left="1360" w:right="1134"/>
        <w:jc w:val="both"/>
        <w:rPr>
          <w:rFonts w:ascii="David" w:hAnsi="David" w:cs="David"/>
          <w:rtl/>
        </w:rPr>
      </w:pPr>
      <w:r w:rsidRPr="006F5EB7">
        <w:rPr>
          <w:rFonts w:ascii="David" w:hAnsi="David" w:cs="David"/>
          <w:rtl/>
        </w:rPr>
        <w:t>"</w:t>
      </w:r>
      <w:r w:rsidRPr="006F5EB7">
        <w:rPr>
          <w:rFonts w:ascii="David" w:hAnsi="David" w:cs="David"/>
          <w:b/>
          <w:bCs/>
          <w:rtl/>
        </w:rPr>
        <w:t>מדיניות הענישה בעבירות מין צריכה להיות מחמירה, ולבטא את הנזקים המשמעותיים הנגרמים לנפגעי עבירות אלה...וכן את האינטרס הציבורי בהרתעתם של עברייני מין פוטנציאליים</w:t>
      </w:r>
      <w:r w:rsidRPr="006F5EB7">
        <w:rPr>
          <w:rFonts w:ascii="David" w:hAnsi="David" w:cs="David"/>
          <w:rtl/>
        </w:rPr>
        <w:t xml:space="preserve">" </w:t>
      </w:r>
    </w:p>
    <w:p w:rsidR="00826272" w:rsidRPr="006F5EB7" w:rsidRDefault="00826272" w:rsidP="00826272">
      <w:pPr>
        <w:pStyle w:val="listparagraph"/>
        <w:bidi/>
        <w:spacing w:before="0" w:beforeAutospacing="0" w:after="0" w:afterAutospacing="0"/>
        <w:ind w:left="1360" w:right="1134"/>
        <w:jc w:val="both"/>
        <w:rPr>
          <w:rFonts w:ascii="David" w:hAnsi="David" w:cs="David"/>
          <w:rtl/>
        </w:rPr>
      </w:pPr>
      <w:r w:rsidRPr="006F5EB7">
        <w:rPr>
          <w:rFonts w:ascii="David" w:hAnsi="David" w:cs="David"/>
          <w:rtl/>
        </w:rPr>
        <w:t xml:space="preserve">(ע"פ 3175/15 </w:t>
      </w:r>
      <w:r w:rsidRPr="006F5EB7">
        <w:rPr>
          <w:rFonts w:ascii="David" w:hAnsi="David" w:cs="David"/>
          <w:b/>
          <w:bCs/>
          <w:rtl/>
        </w:rPr>
        <w:t>פלוני נ' מדינת ישראל</w:t>
      </w:r>
      <w:r w:rsidRPr="006F5EB7">
        <w:rPr>
          <w:rFonts w:ascii="David" w:hAnsi="David" w:cs="David"/>
          <w:rtl/>
        </w:rPr>
        <w:t xml:space="preserve">, פיסקה 9 (24.3.2016).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rtl/>
        </w:rPr>
      </w:pPr>
    </w:p>
    <w:p w:rsidR="00826272" w:rsidRPr="006F5EB7" w:rsidRDefault="00826272" w:rsidP="008B124B">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 xml:space="preserve">כך, הודגש </w:t>
      </w:r>
      <w:r w:rsidR="008B124B">
        <w:rPr>
          <w:rFonts w:ascii="David" w:hAnsi="David" w:cs="David" w:hint="cs"/>
          <w:rtl/>
        </w:rPr>
        <w:t>ה</w:t>
      </w:r>
      <w:r w:rsidRPr="006F5EB7">
        <w:rPr>
          <w:rFonts w:ascii="David" w:hAnsi="David" w:cs="David"/>
          <w:rtl/>
        </w:rPr>
        <w:t xml:space="preserve">אינטרס החברתי של ענישה מרתיעה בגין עבירות מין שבוצעו בקטינים: </w:t>
      </w:r>
    </w:p>
    <w:p w:rsidR="00826272" w:rsidRPr="006F5EB7" w:rsidRDefault="00826272" w:rsidP="00826272">
      <w:pPr>
        <w:pStyle w:val="listparagraph"/>
        <w:bidi/>
        <w:spacing w:before="0" w:beforeAutospacing="0" w:after="0" w:afterAutospacing="0"/>
        <w:ind w:left="1360" w:right="1134"/>
        <w:jc w:val="both"/>
        <w:rPr>
          <w:rFonts w:ascii="David" w:hAnsi="David" w:cs="David"/>
          <w:rtl/>
        </w:rPr>
      </w:pPr>
      <w:r w:rsidRPr="006F5EB7">
        <w:rPr>
          <w:rFonts w:ascii="David" w:hAnsi="David" w:cs="David"/>
          <w:rtl/>
        </w:rPr>
        <w:t>"</w:t>
      </w:r>
      <w:r w:rsidRPr="006F5EB7">
        <w:rPr>
          <w:rFonts w:ascii="David" w:hAnsi="David" w:cs="David"/>
          <w:b/>
          <w:bCs/>
          <w:rtl/>
        </w:rPr>
        <w:t xml:space="preserve">מדיניות הענישה הנוהגת מחמירה בעבירות מין שבוצעו בקטינים, תוך העברת מסר חד-משמעי של הוקעה וסלידה חברתית מן </w:t>
      </w:r>
      <w:r w:rsidRPr="006F5EB7">
        <w:rPr>
          <w:rFonts w:ascii="David" w:hAnsi="David" w:cs="David"/>
          <w:b/>
          <w:bCs/>
          <w:rtl/>
        </w:rPr>
        <w:lastRenderedPageBreak/>
        <w:t>המעשים, וכביטוי לאינטרס החברתי תוך מתן משקל מרכזי לשיקולי גמול והרתעה</w:t>
      </w:r>
      <w:r w:rsidRPr="006F5EB7">
        <w:rPr>
          <w:rFonts w:ascii="David" w:hAnsi="David" w:cs="David"/>
          <w:rtl/>
        </w:rPr>
        <w:t xml:space="preserve">" </w:t>
      </w:r>
    </w:p>
    <w:p w:rsidR="00826272" w:rsidRPr="006F5EB7" w:rsidRDefault="00826272" w:rsidP="00826272">
      <w:pPr>
        <w:pStyle w:val="listparagraph"/>
        <w:bidi/>
        <w:spacing w:before="0" w:beforeAutospacing="0" w:after="0" w:afterAutospacing="0"/>
        <w:ind w:left="1360" w:right="1134"/>
        <w:jc w:val="both"/>
        <w:rPr>
          <w:rFonts w:ascii="David" w:hAnsi="David" w:cs="David"/>
          <w:rtl/>
        </w:rPr>
      </w:pPr>
      <w:r w:rsidRPr="006F5EB7">
        <w:rPr>
          <w:rFonts w:ascii="David" w:hAnsi="David" w:cs="David"/>
          <w:rtl/>
        </w:rPr>
        <w:t xml:space="preserve">(ע"פ 2147/13 </w:t>
      </w:r>
      <w:r w:rsidRPr="006F5EB7">
        <w:rPr>
          <w:rFonts w:ascii="David" w:hAnsi="David" w:cs="David"/>
          <w:b/>
          <w:bCs/>
          <w:rtl/>
        </w:rPr>
        <w:t>פלוני נ' מדינת ישראל</w:t>
      </w:r>
      <w:r w:rsidRPr="006F5EB7">
        <w:rPr>
          <w:rFonts w:ascii="David" w:hAnsi="David" w:cs="David"/>
          <w:rtl/>
        </w:rPr>
        <w:t xml:space="preserve">, פיסקה 7 (28.9.2014)). </w:t>
      </w:r>
    </w:p>
    <w:p w:rsidR="00826272" w:rsidRPr="006F5EB7" w:rsidRDefault="00826272" w:rsidP="00826272">
      <w:pPr>
        <w:pStyle w:val="listparagraph"/>
        <w:bidi/>
        <w:spacing w:before="0" w:beforeAutospacing="0" w:after="0" w:afterAutospacing="0" w:line="360" w:lineRule="auto"/>
        <w:ind w:left="720"/>
        <w:jc w:val="both"/>
        <w:rPr>
          <w:rFonts w:ascii="David" w:hAnsi="David" w:cs="David"/>
          <w:rtl/>
        </w:rPr>
      </w:pPr>
    </w:p>
    <w:p w:rsidR="00826272" w:rsidRPr="006F5EB7" w:rsidRDefault="00826272" w:rsidP="00B604FD">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וכך התייחס כב' השופט עמית בענ</w:t>
      </w:r>
      <w:r w:rsidR="006806CE">
        <w:rPr>
          <w:rFonts w:ascii="David" w:hAnsi="David" w:cs="David" w:hint="cs"/>
          <w:rtl/>
        </w:rPr>
        <w:t>י</w:t>
      </w:r>
      <w:r w:rsidRPr="006F5EB7">
        <w:rPr>
          <w:rFonts w:ascii="David" w:hAnsi="David" w:cs="David"/>
          <w:rtl/>
        </w:rPr>
        <w:t xml:space="preserve">ין </w:t>
      </w:r>
      <w:r w:rsidRPr="006F5EB7">
        <w:rPr>
          <w:rFonts w:ascii="David" w:hAnsi="David" w:cs="David"/>
          <w:b/>
          <w:bCs/>
          <w:rtl/>
        </w:rPr>
        <w:t>בש"פ פלוני</w:t>
      </w:r>
      <w:r w:rsidRPr="006F5EB7">
        <w:rPr>
          <w:rFonts w:ascii="David" w:hAnsi="David" w:cs="David"/>
          <w:rtl/>
        </w:rPr>
        <w:t xml:space="preserve"> לזהו</w:t>
      </w:r>
      <w:r w:rsidR="008B124B">
        <w:rPr>
          <w:rFonts w:ascii="David" w:hAnsi="David" w:cs="David" w:hint="cs"/>
          <w:rtl/>
        </w:rPr>
        <w:t>ּ</w:t>
      </w:r>
      <w:r w:rsidRPr="006F5EB7">
        <w:rPr>
          <w:rFonts w:ascii="David" w:hAnsi="David" w:cs="David"/>
          <w:rtl/>
        </w:rPr>
        <w:t>ת מבצעי העבירות באמצעות המרשתת כ"</w:t>
      </w:r>
      <w:r w:rsidRPr="006F5EB7">
        <w:rPr>
          <w:rFonts w:ascii="David" w:hAnsi="David" w:cs="David"/>
          <w:b/>
          <w:bCs/>
          <w:rtl/>
        </w:rPr>
        <w:t>אנשים נורמטיביים כלפי חוץ, שולחים ידם במעשים שלא היו מעיזים לעשות בעולם שמחוץ למרחב האינטרנטי</w:t>
      </w:r>
      <w:r w:rsidRPr="006F5EB7">
        <w:rPr>
          <w:rFonts w:ascii="David" w:hAnsi="David" w:cs="David"/>
          <w:rtl/>
        </w:rPr>
        <w:t xml:space="preserve">". בהתאם, נקבע הצורך </w:t>
      </w:r>
      <w:r w:rsidR="00B604FD">
        <w:rPr>
          <w:rFonts w:ascii="David" w:hAnsi="David" w:cs="David" w:hint="cs"/>
          <w:rtl/>
        </w:rPr>
        <w:t xml:space="preserve">במסר עונשי של </w:t>
      </w:r>
      <w:r w:rsidRPr="006F5EB7">
        <w:rPr>
          <w:rFonts w:ascii="David" w:hAnsi="David" w:cs="David"/>
          <w:rtl/>
        </w:rPr>
        <w:t xml:space="preserve">הרתעת הרבים בשל ביצוע עבירות אלה: </w:t>
      </w:r>
    </w:p>
    <w:p w:rsidR="00826272" w:rsidRPr="006F5EB7" w:rsidRDefault="00826272" w:rsidP="00826272">
      <w:pPr>
        <w:pStyle w:val="listparagraph"/>
        <w:bidi/>
        <w:spacing w:before="0" w:beforeAutospacing="0" w:after="0" w:afterAutospacing="0"/>
        <w:ind w:left="1360" w:right="1134"/>
        <w:jc w:val="both"/>
        <w:rPr>
          <w:rFonts w:ascii="David" w:hAnsi="David" w:cs="David"/>
          <w:rtl/>
        </w:rPr>
      </w:pPr>
      <w:r w:rsidRPr="006F5EB7">
        <w:rPr>
          <w:rFonts w:ascii="David" w:hAnsi="David" w:cs="David"/>
          <w:rtl/>
        </w:rPr>
        <w:t>"</w:t>
      </w:r>
      <w:r w:rsidRPr="006F5EB7">
        <w:rPr>
          <w:rFonts w:ascii="David" w:hAnsi="David" w:cs="David"/>
          <w:b/>
          <w:bCs/>
          <w:rtl/>
        </w:rPr>
        <w:t>יש אף להדגיש את הצורך בהעברת מסר עונשי מובהק למנצלים את רשת האינטרנט למטרות פוגעניות ולסיפוק יצרים מיניים אפלים ומעוותים</w:t>
      </w:r>
      <w:r w:rsidRPr="006F5EB7">
        <w:rPr>
          <w:rFonts w:ascii="David" w:hAnsi="David" w:cs="David"/>
          <w:rtl/>
        </w:rPr>
        <w:t xml:space="preserve">" (ע"פ 6357/11 </w:t>
      </w:r>
      <w:r w:rsidRPr="006F5EB7">
        <w:rPr>
          <w:rFonts w:ascii="David" w:hAnsi="David" w:cs="David"/>
          <w:b/>
          <w:bCs/>
          <w:rtl/>
        </w:rPr>
        <w:t>אבינועם ברברמן נ' מדינת ישראל</w:t>
      </w:r>
      <w:r w:rsidRPr="006F5EB7">
        <w:rPr>
          <w:rFonts w:ascii="David" w:hAnsi="David" w:cs="David"/>
          <w:rtl/>
        </w:rPr>
        <w:t xml:space="preserve">, פיסקה 14 (4.7.2013)). </w:t>
      </w:r>
    </w:p>
    <w:p w:rsidR="00826272" w:rsidRPr="006F5EB7" w:rsidRDefault="00826272" w:rsidP="00826272">
      <w:pPr>
        <w:pStyle w:val="listparagraph"/>
        <w:bidi/>
        <w:spacing w:before="0" w:beforeAutospacing="0" w:after="0" w:afterAutospacing="0" w:line="360" w:lineRule="auto"/>
        <w:jc w:val="both"/>
        <w:rPr>
          <w:rFonts w:ascii="David" w:hAnsi="David" w:cs="David"/>
          <w:rtl/>
        </w:rPr>
      </w:pPr>
    </w:p>
    <w:p w:rsidR="008B124B" w:rsidRDefault="00826272" w:rsidP="008B124B">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לפיכך, הצורך בהרתעת הרבים מתחדד ומתעצם לנוכח סוג העבירות בהן הורשע הנאשם ואופי ביצוען</w:t>
      </w:r>
      <w:r w:rsidR="00B604FD">
        <w:rPr>
          <w:rFonts w:ascii="David" w:hAnsi="David" w:cs="David" w:hint="cs"/>
          <w:rtl/>
        </w:rPr>
        <w:t>,</w:t>
      </w:r>
      <w:r w:rsidRPr="006F5EB7">
        <w:rPr>
          <w:rFonts w:ascii="David" w:hAnsi="David" w:cs="David"/>
          <w:rtl/>
        </w:rPr>
        <w:t xml:space="preserve"> המאפיין </w:t>
      </w:r>
      <w:r w:rsidR="00B604FD">
        <w:rPr>
          <w:rFonts w:ascii="David" w:hAnsi="David" w:cs="David" w:hint="cs"/>
          <w:rtl/>
        </w:rPr>
        <w:t xml:space="preserve">אף </w:t>
      </w:r>
      <w:r w:rsidRPr="006F5EB7">
        <w:rPr>
          <w:rFonts w:ascii="David" w:hAnsi="David" w:cs="David"/>
          <w:rtl/>
        </w:rPr>
        <w:t>אנשים ללא רקע עברייני</w:t>
      </w:r>
      <w:r w:rsidR="00B604FD">
        <w:rPr>
          <w:rFonts w:ascii="David" w:hAnsi="David" w:cs="David" w:hint="cs"/>
          <w:rtl/>
        </w:rPr>
        <w:t>,</w:t>
      </w:r>
      <w:r w:rsidRPr="006F5EB7">
        <w:rPr>
          <w:rFonts w:ascii="David" w:hAnsi="David" w:cs="David"/>
          <w:rtl/>
        </w:rPr>
        <w:t xml:space="preserve"> כגון הנאשם שבפני.</w:t>
      </w:r>
    </w:p>
    <w:p w:rsidR="00826272" w:rsidRPr="006F5EB7" w:rsidRDefault="00826272" w:rsidP="008B124B">
      <w:pPr>
        <w:pStyle w:val="listparagraph"/>
        <w:bidi/>
        <w:spacing w:before="0" w:beforeAutospacing="0" w:after="0" w:afterAutospacing="0" w:line="360" w:lineRule="auto"/>
        <w:ind w:left="720"/>
        <w:jc w:val="both"/>
        <w:rPr>
          <w:rFonts w:ascii="David" w:hAnsi="David" w:cs="David"/>
          <w:rtl/>
        </w:rPr>
      </w:pPr>
      <w:r w:rsidRPr="006F5EB7">
        <w:rPr>
          <w:rFonts w:ascii="David" w:hAnsi="David" w:cs="David"/>
          <w:rtl/>
        </w:rPr>
        <w:t xml:space="preserve"> </w:t>
      </w:r>
    </w:p>
    <w:p w:rsidR="00826272" w:rsidRPr="006F5EB7" w:rsidRDefault="00826272" w:rsidP="00A63676">
      <w:pPr>
        <w:pStyle w:val="ab"/>
        <w:numPr>
          <w:ilvl w:val="0"/>
          <w:numId w:val="3"/>
        </w:numPr>
        <w:spacing w:line="360" w:lineRule="auto"/>
        <w:jc w:val="both"/>
        <w:rPr>
          <w:rFonts w:ascii="David" w:hAnsi="David" w:cs="David"/>
          <w:sz w:val="24"/>
          <w:szCs w:val="24"/>
          <w:rtl/>
        </w:rPr>
      </w:pPr>
      <w:r w:rsidRPr="006F5EB7">
        <w:rPr>
          <w:rFonts w:ascii="David" w:hAnsi="David" w:cs="David"/>
          <w:sz w:val="24"/>
          <w:szCs w:val="24"/>
          <w:rtl/>
        </w:rPr>
        <w:t>לאחר ששקלתי את מכלול השיקולים</w:t>
      </w:r>
      <w:r w:rsidR="003A5335" w:rsidRPr="006F5EB7">
        <w:rPr>
          <w:rFonts w:ascii="David" w:hAnsi="David" w:cs="David"/>
          <w:sz w:val="24"/>
          <w:szCs w:val="24"/>
          <w:rtl/>
        </w:rPr>
        <w:t>, לרבות</w:t>
      </w:r>
      <w:r w:rsidRPr="006F5EB7">
        <w:rPr>
          <w:rFonts w:ascii="David" w:hAnsi="David" w:cs="David"/>
          <w:sz w:val="24"/>
          <w:szCs w:val="24"/>
          <w:rtl/>
        </w:rPr>
        <w:t xml:space="preserve"> הצורך בהחמרה </w:t>
      </w:r>
      <w:r w:rsidR="00B604FD">
        <w:rPr>
          <w:rFonts w:ascii="David" w:hAnsi="David" w:cs="David" w:hint="cs"/>
          <w:sz w:val="24"/>
          <w:szCs w:val="24"/>
          <w:rtl/>
        </w:rPr>
        <w:t xml:space="preserve">מסוימת </w:t>
      </w:r>
      <w:r w:rsidRPr="006F5EB7">
        <w:rPr>
          <w:rFonts w:ascii="David" w:hAnsi="David" w:cs="David"/>
          <w:sz w:val="24"/>
          <w:szCs w:val="24"/>
          <w:rtl/>
        </w:rPr>
        <w:t xml:space="preserve">לשם הרתעת הרבים, אני מוצא כי יש למקם את עניינו של הנאשם במרכז מתחם הענישה.  </w:t>
      </w:r>
    </w:p>
    <w:p w:rsidR="00826272" w:rsidRPr="006F5EB7" w:rsidRDefault="00826272" w:rsidP="00826272">
      <w:pPr>
        <w:spacing w:line="360" w:lineRule="auto"/>
        <w:ind w:left="720"/>
        <w:jc w:val="both"/>
        <w:rPr>
          <w:rFonts w:ascii="David" w:hAnsi="David"/>
          <w:rtl/>
        </w:rPr>
      </w:pPr>
      <w:r w:rsidRPr="006F5EB7">
        <w:rPr>
          <w:rFonts w:ascii="David" w:hAnsi="David"/>
          <w:rtl/>
        </w:rPr>
        <w:t xml:space="preserve">לפיכך, החלטתי להטיל על הנאשם את העונשים הבאים: </w:t>
      </w:r>
    </w:p>
    <w:p w:rsidR="00826272" w:rsidRPr="006F5EB7" w:rsidRDefault="00826272" w:rsidP="00826272">
      <w:pPr>
        <w:pStyle w:val="ab"/>
        <w:numPr>
          <w:ilvl w:val="0"/>
          <w:numId w:val="8"/>
        </w:numPr>
        <w:spacing w:line="360" w:lineRule="auto"/>
        <w:jc w:val="both"/>
        <w:rPr>
          <w:rFonts w:ascii="David" w:hAnsi="David" w:cs="David"/>
          <w:sz w:val="24"/>
          <w:szCs w:val="24"/>
          <w:rtl/>
        </w:rPr>
      </w:pPr>
      <w:r w:rsidRPr="006F5EB7">
        <w:rPr>
          <w:rFonts w:ascii="David" w:hAnsi="David" w:cs="David"/>
          <w:sz w:val="24"/>
          <w:szCs w:val="24"/>
          <w:rtl/>
        </w:rPr>
        <w:t xml:space="preserve">מאסר למשך 40 חודשים. </w:t>
      </w:r>
    </w:p>
    <w:p w:rsidR="00826272" w:rsidRPr="006F5EB7" w:rsidRDefault="00826272" w:rsidP="00826272">
      <w:pPr>
        <w:pStyle w:val="ab"/>
        <w:numPr>
          <w:ilvl w:val="0"/>
          <w:numId w:val="8"/>
        </w:numPr>
        <w:spacing w:line="360" w:lineRule="auto"/>
        <w:jc w:val="both"/>
        <w:rPr>
          <w:rFonts w:ascii="David" w:hAnsi="David" w:cs="David"/>
          <w:sz w:val="24"/>
          <w:szCs w:val="24"/>
        </w:rPr>
      </w:pPr>
      <w:r w:rsidRPr="006F5EB7">
        <w:rPr>
          <w:rFonts w:ascii="David" w:hAnsi="David" w:cs="David"/>
          <w:sz w:val="24"/>
          <w:szCs w:val="24"/>
          <w:rtl/>
        </w:rPr>
        <w:t xml:space="preserve">מאסר למשך 12 חודשים, אותו לא ירצה אלא אם יעבור עבירת מין מסוג פשע במשך שלוש שנים. </w:t>
      </w:r>
    </w:p>
    <w:p w:rsidR="00826272" w:rsidRPr="006F5EB7" w:rsidRDefault="00826272" w:rsidP="00826272">
      <w:pPr>
        <w:pStyle w:val="ab"/>
        <w:numPr>
          <w:ilvl w:val="0"/>
          <w:numId w:val="8"/>
        </w:numPr>
        <w:spacing w:line="360" w:lineRule="auto"/>
        <w:jc w:val="both"/>
        <w:rPr>
          <w:rFonts w:ascii="David" w:hAnsi="David" w:cs="David"/>
          <w:sz w:val="24"/>
          <w:szCs w:val="24"/>
        </w:rPr>
      </w:pPr>
      <w:r w:rsidRPr="006F5EB7">
        <w:rPr>
          <w:rFonts w:ascii="David" w:hAnsi="David" w:cs="David"/>
          <w:sz w:val="24"/>
          <w:szCs w:val="24"/>
          <w:rtl/>
        </w:rPr>
        <w:t>מאסר למשך 6 חודשים, אותו לא ירצה אלא אם יעבור עבירת מין מסוג עוון במשך שלוש שנים.</w:t>
      </w:r>
    </w:p>
    <w:p w:rsidR="00826272" w:rsidRPr="006F5EB7" w:rsidRDefault="00826272" w:rsidP="00B8665E">
      <w:pPr>
        <w:pStyle w:val="ab"/>
        <w:numPr>
          <w:ilvl w:val="0"/>
          <w:numId w:val="8"/>
        </w:numPr>
        <w:spacing w:line="360" w:lineRule="auto"/>
        <w:jc w:val="both"/>
        <w:rPr>
          <w:rFonts w:ascii="David" w:hAnsi="David" w:cs="David"/>
          <w:sz w:val="24"/>
          <w:szCs w:val="24"/>
        </w:rPr>
      </w:pPr>
      <w:r w:rsidRPr="006F5EB7">
        <w:rPr>
          <w:rFonts w:ascii="David" w:hAnsi="David" w:cs="David"/>
          <w:sz w:val="24"/>
          <w:szCs w:val="24"/>
          <w:rtl/>
        </w:rPr>
        <w:t>פיצוי ל</w:t>
      </w:r>
      <w:r w:rsidR="00B8665E">
        <w:rPr>
          <w:rFonts w:ascii="David" w:hAnsi="David" w:cs="David" w:hint="cs"/>
          <w:sz w:val="24"/>
          <w:szCs w:val="24"/>
          <w:rtl/>
        </w:rPr>
        <w:t>קטינה</w:t>
      </w:r>
      <w:r w:rsidRPr="006F5EB7">
        <w:rPr>
          <w:rFonts w:ascii="David" w:hAnsi="David" w:cs="David"/>
          <w:sz w:val="24"/>
          <w:szCs w:val="24"/>
          <w:rtl/>
        </w:rPr>
        <w:t xml:space="preserve"> בסך 50,000 ₪. הפיצוי ישולם בעשרה תשלומים שווים החל מיום 1.8.23 ומידי חודש בחודשו. </w:t>
      </w:r>
    </w:p>
    <w:p w:rsidR="00826272" w:rsidRPr="006F5EB7" w:rsidRDefault="00826272" w:rsidP="00826272">
      <w:pPr>
        <w:spacing w:line="360" w:lineRule="auto"/>
        <w:ind w:left="720"/>
        <w:jc w:val="both"/>
        <w:rPr>
          <w:rFonts w:ascii="David" w:hAnsi="David"/>
        </w:rPr>
      </w:pPr>
      <w:r w:rsidRPr="006F5EB7">
        <w:rPr>
          <w:rFonts w:ascii="David" w:hAnsi="David"/>
          <w:rtl/>
        </w:rPr>
        <w:t xml:space="preserve">זכות ערעור לבית המשפט המחוזי תוך 45 יום מהיום. </w:t>
      </w:r>
    </w:p>
    <w:p w:rsidR="00507694" w:rsidRPr="006F5EB7" w:rsidRDefault="00507694">
      <w:pPr>
        <w:rPr>
          <w:rFonts w:ascii="David" w:hAnsi="David"/>
          <w:rtl/>
        </w:rPr>
      </w:pPr>
    </w:p>
    <w:p w:rsidR="00507694" w:rsidRPr="006F5EB7" w:rsidRDefault="00507694">
      <w:pPr>
        <w:rPr>
          <w:rFonts w:ascii="David" w:hAnsi="David"/>
          <w:rtl/>
        </w:rPr>
      </w:pPr>
    </w:p>
    <w:p w:rsidR="00507694" w:rsidRPr="006F5EB7" w:rsidRDefault="00684E84" w:rsidP="00046C35">
      <w:pPr>
        <w:spacing w:line="360" w:lineRule="auto"/>
        <w:jc w:val="both"/>
        <w:rPr>
          <w:rFonts w:ascii="David" w:hAnsi="David"/>
        </w:rPr>
      </w:pPr>
      <w:r w:rsidRPr="006F5EB7">
        <w:rPr>
          <w:rFonts w:ascii="David" w:hAnsi="David"/>
          <w:rtl/>
        </w:rPr>
        <w:t xml:space="preserve">ניתן היום,  </w:t>
      </w:r>
      <w:sdt>
        <w:sdtPr>
          <w:rPr>
            <w:rFonts w:ascii="David" w:hAnsi="David"/>
            <w:rtl/>
          </w:rPr>
          <w:alias w:val="1455"/>
          <w:tag w:val="1455"/>
          <w:id w:val="-750497047"/>
          <w:text w:multiLine="1"/>
        </w:sdtPr>
        <w:sdtEndPr/>
        <w:sdtContent>
          <w:r>
            <w:rPr>
              <w:rFonts w:ascii="David" w:hAnsi="David"/>
              <w:rtl/>
            </w:rPr>
            <w:t>ט"ו סיוון תשפ"ג</w:t>
          </w:r>
        </w:sdtContent>
      </w:sdt>
      <w:r w:rsidRPr="006F5EB7">
        <w:rPr>
          <w:rFonts w:ascii="David" w:hAnsi="David"/>
          <w:rtl/>
        </w:rPr>
        <w:t xml:space="preserve">, </w:t>
      </w:r>
      <w:sdt>
        <w:sdtPr>
          <w:rPr>
            <w:rFonts w:ascii="David" w:hAnsi="David"/>
            <w:rtl/>
          </w:rPr>
          <w:alias w:val="1456"/>
          <w:tag w:val="1456"/>
          <w:id w:val="367718347"/>
          <w:text w:multiLine="1"/>
        </w:sdtPr>
        <w:sdtEndPr/>
        <w:sdtContent>
          <w:r>
            <w:rPr>
              <w:rFonts w:ascii="David" w:hAnsi="David"/>
              <w:rtl/>
            </w:rPr>
            <w:t>04 יוני 2023</w:t>
          </w:r>
        </w:sdtContent>
      </w:sdt>
      <w:r w:rsidRPr="006F5EB7">
        <w:rPr>
          <w:rFonts w:ascii="David" w:hAnsi="David"/>
          <w:rtl/>
        </w:rPr>
        <w:t xml:space="preserve">, </w:t>
      </w:r>
      <w:r w:rsidR="00046C35">
        <w:rPr>
          <w:rFonts w:ascii="David" w:hAnsi="David" w:hint="cs"/>
          <w:rtl/>
        </w:rPr>
        <w:t>במעמד</w:t>
      </w:r>
      <w:r w:rsidRPr="006F5EB7">
        <w:rPr>
          <w:rFonts w:ascii="David" w:hAnsi="David"/>
          <w:rtl/>
        </w:rPr>
        <w:t xml:space="preserve"> הצדדים.</w:t>
      </w:r>
    </w:p>
    <w:p w:rsidR="00507694" w:rsidRPr="006F5EB7" w:rsidRDefault="00507694">
      <w:pPr>
        <w:rPr>
          <w:rFonts w:ascii="David" w:hAnsi="David"/>
          <w:rtl/>
        </w:rPr>
      </w:pPr>
    </w:p>
    <w:p w:rsidR="00507694" w:rsidRPr="006F5EB7" w:rsidRDefault="003E0C9F" w:rsidP="003E0C9F">
      <w:pPr>
        <w:jc w:val="center"/>
      </w:pPr>
      <w:r w:rsidRPr="006F5EB7">
        <w:rPr>
          <w:rFonts w:ascii="David" w:hAnsi="David"/>
          <w:rtl/>
        </w:rPr>
        <w:t xml:space="preserve">   </w:t>
      </w:r>
      <w:r w:rsidRPr="006F5EB7">
        <w:rPr>
          <w:rFonts w:ascii="David" w:hAnsi="David"/>
          <w:rtl/>
        </w:rPr>
        <w:tab/>
      </w:r>
      <w:r w:rsidRPr="006F5EB7">
        <w:rPr>
          <w:rFonts w:ascii="David" w:hAnsi="David"/>
          <w:rtl/>
        </w:rPr>
        <w:tab/>
      </w:r>
      <w:r w:rsidRPr="006F5EB7">
        <w:rPr>
          <w:rFonts w:ascii="David" w:hAnsi="David"/>
          <w:rtl/>
        </w:rPr>
        <w:tab/>
      </w:r>
      <w:r w:rsidRPr="006F5EB7">
        <w:rPr>
          <w:rFonts w:ascii="David" w:hAnsi="David"/>
          <w:rtl/>
        </w:rPr>
        <w:tab/>
      </w:r>
      <w:r w:rsidRPr="006F5EB7">
        <w:rPr>
          <w:rFonts w:ascii="David" w:hAnsi="David"/>
          <w:rtl/>
        </w:rPr>
        <w:tab/>
      </w:r>
      <w:sdt>
        <w:sdtPr>
          <w:rPr>
            <w:rtl/>
          </w:rPr>
          <w:alias w:val="MergeField"/>
          <w:tag w:val="1237"/>
          <w:id w:val="-1150368119"/>
        </w:sdtPr>
        <w:sdtEndPr/>
        <w:sdtContent>
          <w:r w:rsidR="00B8665E">
            <w:rPr>
              <w:noProof/>
            </w:rPr>
            <w:drawing>
              <wp:inline distT="0" distB="0" distL="0" distR="0" wp14:editId="50D07946">
                <wp:extent cx="15621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62100" cy="771525"/>
                        </a:xfrm>
                        <a:prstGeom prst="rect">
                          <a:avLst/>
                        </a:prstGeom>
                      </pic:spPr>
                    </pic:pic>
                  </a:graphicData>
                </a:graphic>
              </wp:inline>
            </w:drawing>
          </w:r>
        </w:sdtContent>
      </w:sdt>
    </w:p>
    <w:p w:rsidR="00507694" w:rsidRPr="006F5EB7" w:rsidRDefault="00507694" w:rsidP="003E0C9F">
      <w:pPr>
        <w:jc w:val="center"/>
        <w:rPr>
          <w:rFonts w:ascii="David" w:hAnsi="David"/>
          <w:rtl/>
        </w:rPr>
      </w:pPr>
    </w:p>
    <w:p w:rsidR="00507694" w:rsidRPr="006F5EB7" w:rsidRDefault="00507694">
      <w:pPr>
        <w:rPr>
          <w:rFonts w:ascii="David" w:hAnsi="David"/>
          <w:rtl/>
        </w:rPr>
      </w:pPr>
    </w:p>
    <w:p w:rsidR="00507694" w:rsidRPr="006F5EB7" w:rsidRDefault="00507694">
      <w:pPr>
        <w:pStyle w:val="a3"/>
        <w:jc w:val="center"/>
        <w:rPr>
          <w:rFonts w:ascii="David" w:hAnsi="David"/>
          <w:rtl/>
        </w:rPr>
      </w:pPr>
    </w:p>
    <w:sectPr w:rsidR="00507694" w:rsidRPr="006F5EB7" w:rsidSect="00A87018">
      <w:headerReference w:type="default" r:id="rId11"/>
      <w:footerReference w:type="even" r:id="rId12"/>
      <w:footerReference w:type="default" r:id="rId13"/>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130" w:rsidRDefault="00200130">
      <w:r>
        <w:separator/>
      </w:r>
    </w:p>
  </w:endnote>
  <w:endnote w:type="continuationSeparator" w:id="0">
    <w:p w:rsidR="00200130" w:rsidRDefault="0020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5"/>
      <w:framePr w:wrap="around" w:vAnchor="text" w:hAnchor="text" w:y="1"/>
      <w:rPr>
        <w:rStyle w:val="aa"/>
      </w:rPr>
    </w:pPr>
    <w:r>
      <w:rPr>
        <w:rStyle w:val="aa"/>
        <w:rtl/>
      </w:rPr>
      <w:fldChar w:fldCharType="begin"/>
    </w:r>
    <w:r w:rsidR="00BD67E7">
      <w:rPr>
        <w:rStyle w:val="aa"/>
      </w:rPr>
      <w:instrText xml:space="preserve">PAGE  </w:instrText>
    </w:r>
    <w:r>
      <w:rPr>
        <w:rStyle w:val="aa"/>
        <w:rtl/>
      </w:rPr>
      <w:fldChar w:fldCharType="end"/>
    </w:r>
  </w:p>
  <w:p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5"/>
      <w:ind w:right="360"/>
      <w:jc w:val="center"/>
    </w:pPr>
    <w:r>
      <w:rPr>
        <w:rtl/>
      </w:rPr>
      <w:t>עמוד</w:t>
    </w:r>
    <w:r>
      <w:t xml:space="preserve"> </w:t>
    </w:r>
    <w:r w:rsidR="0006726A">
      <w:fldChar w:fldCharType="begin"/>
    </w:r>
    <w:r>
      <w:instrText xml:space="preserve"> PAGE </w:instrText>
    </w:r>
    <w:r w:rsidR="0006726A">
      <w:fldChar w:fldCharType="separate"/>
    </w:r>
    <w:r w:rsidR="005C5A61">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5C5A61">
      <w:rPr>
        <w:noProof/>
        <w:rtl/>
      </w:rPr>
      <w:t>13</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130" w:rsidRDefault="00200130">
      <w:r>
        <w:separator/>
      </w:r>
    </w:p>
  </w:footnote>
  <w:footnote w:type="continuationSeparator" w:id="0">
    <w:p w:rsidR="00200130" w:rsidRDefault="0020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230C99C8" wp14:editId="35745F4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7"/>
      <w:gridCol w:w="3480"/>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משפט השלום בתל אביב - יפו</w:t>
              </w:r>
            </w:p>
          </w:tc>
        </w:sdtContent>
      </w:sdt>
    </w:tr>
    <w:tr w:rsidR="00507694">
      <w:trPr>
        <w:trHeight w:val="337"/>
        <w:jc w:val="center"/>
      </w:trPr>
      <w:tc>
        <w:tcPr>
          <w:tcW w:w="5131" w:type="dxa"/>
        </w:tcPr>
        <w:p w:rsidR="00507694" w:rsidRPr="004D24E2" w:rsidRDefault="00200130" w:rsidP="004D24E2">
          <w:pPr>
            <w:rPr>
              <w:sz w:val="26"/>
              <w:szCs w:val="26"/>
              <w:rtl/>
            </w:rPr>
          </w:pPr>
          <w:sdt>
            <w:sdtPr>
              <w:rPr>
                <w:sz w:val="26"/>
                <w:szCs w:val="26"/>
                <w:rtl/>
              </w:rPr>
              <w:alias w:val="1170"/>
              <w:tag w:val="1170"/>
              <w:id w:val="2112628154"/>
              <w:text w:multiLine="1"/>
            </w:sdtPr>
            <w:sdtEndPr/>
            <w:sdtContent>
              <w:r w:rsidR="00A87018">
                <w:rPr>
                  <w:sz w:val="26"/>
                  <w:szCs w:val="26"/>
                  <w:rtl/>
                </w:rPr>
                <w:t>תפ"ע</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A87018">
                <w:rPr>
                  <w:sz w:val="26"/>
                  <w:szCs w:val="26"/>
                  <w:rtl/>
                </w:rPr>
                <w:t>69333-01-20</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A87018">
                <w:rPr>
                  <w:sz w:val="26"/>
                  <w:szCs w:val="26"/>
                  <w:rtl/>
                </w:rPr>
                <w:t>מדינת ישראל נ' פלג</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29D1"/>
    <w:multiLevelType w:val="hybridMultilevel"/>
    <w:tmpl w:val="BA827C22"/>
    <w:lvl w:ilvl="0" w:tplc="B4C2EF46">
      <w:start w:val="1"/>
      <w:numFmt w:val="hebrew1"/>
      <w:lvlText w:val="%1."/>
      <w:lvlJc w:val="left"/>
      <w:pPr>
        <w:ind w:left="1080" w:hanging="360"/>
      </w:pPr>
      <w:rPr>
        <w:rFonts w:ascii="David" w:hAnsi="David" w:cs="David" w:hint="default"/>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9E67E7E"/>
    <w:multiLevelType w:val="hybridMultilevel"/>
    <w:tmpl w:val="CDC6D068"/>
    <w:lvl w:ilvl="0" w:tplc="A38A4CE2">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8A067D"/>
    <w:multiLevelType w:val="hybridMultilevel"/>
    <w:tmpl w:val="AD566FDE"/>
    <w:lvl w:ilvl="0" w:tplc="66CC2408">
      <w:start w:val="1"/>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3C4C50"/>
    <w:multiLevelType w:val="hybridMultilevel"/>
    <w:tmpl w:val="1EA872D0"/>
    <w:lvl w:ilvl="0" w:tplc="AC98B34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43D1E24"/>
    <w:multiLevelType w:val="hybridMultilevel"/>
    <w:tmpl w:val="0E868E7A"/>
    <w:lvl w:ilvl="0" w:tplc="0DF01DFE">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413CA8"/>
    <w:multiLevelType w:val="hybridMultilevel"/>
    <w:tmpl w:val="FB26A310"/>
    <w:lvl w:ilvl="0" w:tplc="0556108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31F8A"/>
    <w:rsid w:val="00036B1D"/>
    <w:rsid w:val="00046C35"/>
    <w:rsid w:val="00054FC4"/>
    <w:rsid w:val="0006726A"/>
    <w:rsid w:val="00100577"/>
    <w:rsid w:val="001359DB"/>
    <w:rsid w:val="001621BC"/>
    <w:rsid w:val="001C1641"/>
    <w:rsid w:val="00200130"/>
    <w:rsid w:val="00212125"/>
    <w:rsid w:val="00212457"/>
    <w:rsid w:val="00250B83"/>
    <w:rsid w:val="002602E1"/>
    <w:rsid w:val="002757EB"/>
    <w:rsid w:val="002D6C61"/>
    <w:rsid w:val="00300901"/>
    <w:rsid w:val="00304E32"/>
    <w:rsid w:val="00367565"/>
    <w:rsid w:val="003773EF"/>
    <w:rsid w:val="003A5335"/>
    <w:rsid w:val="003D00B2"/>
    <w:rsid w:val="003E0C9F"/>
    <w:rsid w:val="003F37B7"/>
    <w:rsid w:val="004215DC"/>
    <w:rsid w:val="004309BA"/>
    <w:rsid w:val="00443816"/>
    <w:rsid w:val="004D24E2"/>
    <w:rsid w:val="004F2D73"/>
    <w:rsid w:val="005051E8"/>
    <w:rsid w:val="00507694"/>
    <w:rsid w:val="0054084D"/>
    <w:rsid w:val="00592402"/>
    <w:rsid w:val="005970BA"/>
    <w:rsid w:val="005B7B3C"/>
    <w:rsid w:val="005C1FEB"/>
    <w:rsid w:val="005C5A61"/>
    <w:rsid w:val="005C7B0B"/>
    <w:rsid w:val="005D15AA"/>
    <w:rsid w:val="0061252E"/>
    <w:rsid w:val="00632D94"/>
    <w:rsid w:val="006466B3"/>
    <w:rsid w:val="00660005"/>
    <w:rsid w:val="006806CE"/>
    <w:rsid w:val="00683ABD"/>
    <w:rsid w:val="00684E84"/>
    <w:rsid w:val="006857D2"/>
    <w:rsid w:val="006C2095"/>
    <w:rsid w:val="006E435E"/>
    <w:rsid w:val="006F5EB7"/>
    <w:rsid w:val="00707C48"/>
    <w:rsid w:val="00717ADA"/>
    <w:rsid w:val="00757983"/>
    <w:rsid w:val="007966F1"/>
    <w:rsid w:val="007F49EA"/>
    <w:rsid w:val="007F745F"/>
    <w:rsid w:val="00811B46"/>
    <w:rsid w:val="00821F29"/>
    <w:rsid w:val="00826272"/>
    <w:rsid w:val="0082781D"/>
    <w:rsid w:val="00832D73"/>
    <w:rsid w:val="008336EA"/>
    <w:rsid w:val="0083535B"/>
    <w:rsid w:val="008819B4"/>
    <w:rsid w:val="008B124B"/>
    <w:rsid w:val="009356A6"/>
    <w:rsid w:val="009364D5"/>
    <w:rsid w:val="009464DD"/>
    <w:rsid w:val="009673BC"/>
    <w:rsid w:val="00994A82"/>
    <w:rsid w:val="009E35A7"/>
    <w:rsid w:val="009E49A1"/>
    <w:rsid w:val="009F504D"/>
    <w:rsid w:val="00A42981"/>
    <w:rsid w:val="00A504C4"/>
    <w:rsid w:val="00A61778"/>
    <w:rsid w:val="00A63676"/>
    <w:rsid w:val="00A87018"/>
    <w:rsid w:val="00A937C1"/>
    <w:rsid w:val="00AC5BDC"/>
    <w:rsid w:val="00B05847"/>
    <w:rsid w:val="00B22E0A"/>
    <w:rsid w:val="00B604FD"/>
    <w:rsid w:val="00B8665E"/>
    <w:rsid w:val="00B94E4C"/>
    <w:rsid w:val="00BA38D1"/>
    <w:rsid w:val="00BD67E7"/>
    <w:rsid w:val="00BE0015"/>
    <w:rsid w:val="00C02463"/>
    <w:rsid w:val="00C55E62"/>
    <w:rsid w:val="00C572E8"/>
    <w:rsid w:val="00C61818"/>
    <w:rsid w:val="00CE2F98"/>
    <w:rsid w:val="00D1257E"/>
    <w:rsid w:val="00D202F4"/>
    <w:rsid w:val="00D3203D"/>
    <w:rsid w:val="00D645C3"/>
    <w:rsid w:val="00D77D88"/>
    <w:rsid w:val="00DD22F8"/>
    <w:rsid w:val="00DD7FE5"/>
    <w:rsid w:val="00DF7EF9"/>
    <w:rsid w:val="00E430BA"/>
    <w:rsid w:val="00E6589A"/>
    <w:rsid w:val="00E7038C"/>
    <w:rsid w:val="00E70F9C"/>
    <w:rsid w:val="00E95BE9"/>
    <w:rsid w:val="00EE7583"/>
    <w:rsid w:val="00F53EEF"/>
    <w:rsid w:val="00F75AFC"/>
    <w:rsid w:val="00FA741B"/>
    <w:rsid w:val="00FD180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A7B41"/>
    <w:pPr>
      <w:tabs>
        <w:tab w:val="center" w:pos="4153"/>
        <w:tab w:val="right" w:pos="8306"/>
      </w:tabs>
    </w:pPr>
  </w:style>
  <w:style w:type="paragraph" w:styleId="a5">
    <w:name w:val="footer"/>
    <w:basedOn w:val="a"/>
    <w:rsid w:val="003A7B41"/>
    <w:pPr>
      <w:tabs>
        <w:tab w:val="center" w:pos="4153"/>
        <w:tab w:val="right" w:pos="8306"/>
      </w:tabs>
    </w:pPr>
  </w:style>
  <w:style w:type="character" w:styleId="a6">
    <w:name w:val="annotation reference"/>
    <w:basedOn w:val="a0"/>
    <w:semiHidden/>
    <w:rsid w:val="003A7B41"/>
    <w:rPr>
      <w:sz w:val="16"/>
      <w:szCs w:val="16"/>
    </w:rPr>
  </w:style>
  <w:style w:type="paragraph" w:styleId="a7">
    <w:name w:val="annotation text"/>
    <w:basedOn w:val="a"/>
    <w:semiHidden/>
    <w:rsid w:val="003A7B41"/>
    <w:rPr>
      <w:rFonts w:cs="Times New Roman"/>
      <w:lang w:eastAsia="he-IL"/>
    </w:rPr>
  </w:style>
  <w:style w:type="paragraph" w:styleId="a8">
    <w:name w:val="Balloon Text"/>
    <w:basedOn w:val="a"/>
    <w:semiHidden/>
    <w:rsid w:val="003A7B41"/>
    <w:rPr>
      <w:rFonts w:ascii="Tahoma" w:hAnsi="Tahoma" w:cs="Tahoma"/>
      <w:sz w:val="16"/>
      <w:szCs w:val="16"/>
    </w:rPr>
  </w:style>
  <w:style w:type="table" w:styleId="a9">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BD67E7"/>
  </w:style>
  <w:style w:type="character" w:styleId="Hyperlink">
    <w:name w:val="Hyperlink"/>
    <w:basedOn w:val="a0"/>
    <w:uiPriority w:val="99"/>
    <w:semiHidden/>
    <w:unhideWhenUsed/>
    <w:rsid w:val="00826272"/>
    <w:rPr>
      <w:color w:val="0000FF"/>
      <w:u w:val="single"/>
    </w:rPr>
  </w:style>
  <w:style w:type="character" w:customStyle="1" w:styleId="a4">
    <w:name w:val="כותרת עליונה תו"/>
    <w:basedOn w:val="a0"/>
    <w:link w:val="a3"/>
    <w:rsid w:val="00826272"/>
    <w:rPr>
      <w:rFonts w:cs="David"/>
      <w:sz w:val="24"/>
      <w:szCs w:val="24"/>
    </w:rPr>
  </w:style>
  <w:style w:type="paragraph" w:styleId="ab">
    <w:name w:val="List Paragraph"/>
    <w:basedOn w:val="a"/>
    <w:uiPriority w:val="34"/>
    <w:qFormat/>
    <w:rsid w:val="00826272"/>
    <w:pPr>
      <w:spacing w:after="160" w:line="254" w:lineRule="auto"/>
      <w:ind w:left="720"/>
      <w:contextualSpacing/>
    </w:pPr>
    <w:rPr>
      <w:rFonts w:asciiTheme="minorHAnsi" w:eastAsiaTheme="minorHAnsi" w:hAnsiTheme="minorHAnsi" w:cstheme="minorBidi"/>
      <w:sz w:val="22"/>
      <w:szCs w:val="22"/>
    </w:rPr>
  </w:style>
  <w:style w:type="paragraph" w:customStyle="1" w:styleId="p00">
    <w:name w:val="p00"/>
    <w:basedOn w:val="a"/>
    <w:rsid w:val="00826272"/>
    <w:pPr>
      <w:bidi w:val="0"/>
      <w:spacing w:before="100" w:beforeAutospacing="1" w:after="100" w:afterAutospacing="1"/>
    </w:pPr>
    <w:rPr>
      <w:rFonts w:cs="Times New Roman"/>
    </w:rPr>
  </w:style>
  <w:style w:type="paragraph" w:customStyle="1" w:styleId="listparagraph">
    <w:name w:val="listparagraph"/>
    <w:basedOn w:val="a"/>
    <w:rsid w:val="00826272"/>
    <w:pPr>
      <w:bidi w:val="0"/>
      <w:spacing w:before="100" w:beforeAutospacing="1" w:after="100" w:afterAutospacing="1"/>
    </w:pPr>
    <w:rPr>
      <w:rFonts w:cs="Times New Roman"/>
    </w:rPr>
  </w:style>
  <w:style w:type="paragraph" w:customStyle="1" w:styleId="ruller5">
    <w:name w:val="ruller5"/>
    <w:basedOn w:val="a"/>
    <w:rsid w:val="00826272"/>
    <w:pPr>
      <w:bidi w:val="0"/>
      <w:spacing w:before="100" w:beforeAutospacing="1" w:after="100" w:afterAutospacing="1"/>
    </w:pPr>
    <w:rPr>
      <w:rFonts w:cs="Times New Roman"/>
    </w:rPr>
  </w:style>
  <w:style w:type="paragraph" w:customStyle="1" w:styleId="ruller40">
    <w:name w:val="ruller40"/>
    <w:basedOn w:val="a"/>
    <w:rsid w:val="00826272"/>
    <w:pPr>
      <w:bidi w:val="0"/>
      <w:spacing w:before="100" w:beforeAutospacing="1" w:after="100" w:afterAutospacing="1"/>
    </w:pPr>
    <w:rPr>
      <w:rFonts w:cs="Times New Roman"/>
    </w:rPr>
  </w:style>
  <w:style w:type="paragraph" w:customStyle="1" w:styleId="filenumber">
    <w:name w:val="filenumber"/>
    <w:basedOn w:val="a"/>
    <w:rsid w:val="00826272"/>
    <w:pPr>
      <w:bidi w:val="0"/>
      <w:spacing w:before="100" w:beforeAutospacing="1" w:after="100" w:afterAutospacing="1"/>
    </w:pPr>
    <w:rPr>
      <w:rFonts w:cs="Times New Roman"/>
    </w:rPr>
  </w:style>
  <w:style w:type="paragraph" w:customStyle="1" w:styleId="filenumber0">
    <w:name w:val="filenumber0"/>
    <w:basedOn w:val="a"/>
    <w:rsid w:val="00826272"/>
    <w:pPr>
      <w:bidi w:val="0"/>
      <w:spacing w:before="100" w:beforeAutospacing="1" w:after="100" w:afterAutospacing="1"/>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3797">
      <w:bodyDiv w:val="1"/>
      <w:marLeft w:val="0"/>
      <w:marRight w:val="0"/>
      <w:marTop w:val="0"/>
      <w:marBottom w:val="0"/>
      <w:divBdr>
        <w:top w:val="none" w:sz="0" w:space="0" w:color="auto"/>
        <w:left w:val="none" w:sz="0" w:space="0" w:color="auto"/>
        <w:bottom w:val="none" w:sz="0" w:space="0" w:color="auto"/>
        <w:right w:val="none" w:sz="0" w:space="0" w:color="auto"/>
      </w:divBdr>
    </w:div>
    <w:div w:id="353457239">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795824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case/1690450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4910</Words>
  <Characters>24552</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2023-07-02T08:27:00Z</dcterms:created>
  <dcterms:modified xsi:type="dcterms:W3CDTF">2023-07-02T08:27:00Z</dcterms:modified>
</cp:coreProperties>
</file>